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PUC DOCKET NO. 23220</w:t>
      </w:r>
    </w:p>
    <w:p>
      <w:pPr>
        <w:pStyle w:val="Normal"/>
        <w:jc w:val="center"/>
        <w:rPr>
          <w:b/>
          <w:sz w:val="24"/>
        </w:rPr>
      </w:pPr>
      <w:r>
        <w:rPr>
          <w:b/>
          <w:sz w:val="24"/>
        </w:rPr>
      </w:r>
    </w:p>
    <w:p>
      <w:pPr>
        <w:pStyle w:val="Subtitle"/>
        <w:rPr>
          <w:sz w:val="24"/>
        </w:rPr>
      </w:pPr>
      <w:r>
        <w:rPr>
          <w:sz w:val="24"/>
        </w:rPr>
        <w:t>PETITION OF THE ELECTRIC</w:t>
        <w:tab/>
        <w:tab/>
        <w:t>§</w:t>
        <w:tab/>
        <w:t>PUBLIC UTILITY</w:t>
      </w:r>
    </w:p>
    <w:p>
      <w:pPr>
        <w:pStyle w:val="Normal"/>
        <w:rPr>
          <w:b/>
        </w:rPr>
      </w:pPr>
      <w:r>
        <w:rPr>
          <w:b/>
        </w:rPr>
        <w:t xml:space="preserve">RETAIABILITY COUNCIL OF </w:t>
        <w:tab/>
        <w:tab/>
        <w:t>§</w:t>
        <w:tab/>
        <w:t>COMMISSION</w:t>
      </w:r>
    </w:p>
    <w:p>
      <w:pPr>
        <w:pStyle w:val="Normal"/>
        <w:rPr>
          <w:b/>
        </w:rPr>
      </w:pPr>
      <w:r>
        <w:rPr>
          <w:b/>
        </w:rPr>
        <w:t xml:space="preserve">TEXAS FOR APPROVAL OF THE </w:t>
        <w:tab/>
        <w:t>§</w:t>
        <w:tab/>
        <w:t>OF TEXAS</w:t>
      </w:r>
    </w:p>
    <w:p>
      <w:pPr>
        <w:pStyle w:val="Heading1"/>
        <w:ind w:hanging="0" w:start="0"/>
        <w:rPr/>
      </w:pPr>
      <w:r>
        <w:rPr/>
        <w:t>ERCOT PROTOCOLS</w:t>
      </w:r>
    </w:p>
    <w:p>
      <w:pPr>
        <w:pStyle w:val="Normal"/>
        <w:rPr>
          <w:b/>
        </w:rPr>
      </w:pPr>
      <w:r>
        <w:rPr>
          <w:b/>
        </w:rPr>
      </w:r>
    </w:p>
    <w:p>
      <w:pPr>
        <w:pStyle w:val="Heading2"/>
        <w:ind w:firstLine="720" w:start="0" w:end="0"/>
        <w:jc w:val="center"/>
        <w:rPr>
          <w:caps/>
        </w:rPr>
      </w:pPr>
      <w:r>
        <w:rPr>
          <w:caps/>
        </w:rPr>
        <w:t>Response OF ENRON ENERGY SERVICES, INC. AND ENRON POWER MARKETING, INC. to Dr. Shmuel Oren’s Report on the ERCOT Protocols</w:t>
      </w:r>
    </w:p>
    <w:p>
      <w:pPr>
        <w:pStyle w:val="BodyTextIndent2"/>
        <w:rPr/>
      </w:pPr>
      <w:r>
        <w:rPr/>
      </w:r>
    </w:p>
    <w:p>
      <w:pPr>
        <w:pStyle w:val="BodyTextIndent2"/>
        <w:rPr/>
      </w:pPr>
      <w:r>
        <w:rPr/>
        <w:t>Enron is fully supportive of the efforts undertaken by the Commission to ensure that flaws in the Protocols are eliminated and that the eventual market design is capable of delivering material benefits to end use customers as well as market participants.  Moreover, we would not wish to see any delay to the implementation dates contained in Senate Bill 7.</w:t>
      </w:r>
    </w:p>
    <w:p>
      <w:pPr>
        <w:pStyle w:val="BodyTextIndent2"/>
        <w:rPr/>
      </w:pPr>
      <w:r>
        <w:rPr/>
        <w:t>In characterizing the ERCOT Protocols, Dr. Oren makes the following observation:</w:t>
      </w:r>
    </w:p>
    <w:p>
      <w:pPr>
        <w:pStyle w:val="BodyTextIndent2"/>
        <w:spacing w:lineRule="auto" w:line="240"/>
        <w:ind w:hanging="0" w:start="720" w:end="720"/>
        <w:rPr/>
      </w:pPr>
      <w:r>
        <w:rPr/>
        <w:t>…</w:t>
      </w:r>
      <w:r>
        <w:rPr/>
        <w:t>the stakeholders have done an outstanding job of operationalizing the general principles of an electricity market design that is based on decentralized decision making, customer choice, and an independent system operator (ISO) whose role in the markets is minimized (Min ISO).  This general approach has recently come under attack due to the collapse of the California market, which is based on the same principles.  However, I strongly believe that the Min ISO concept is sound and conducive to a truly competitive market that will foster innovation and customer choice.</w:t>
      </w:r>
    </w:p>
    <w:p>
      <w:pPr>
        <w:pStyle w:val="BodyTextIndent2"/>
        <w:spacing w:lineRule="auto" w:line="240"/>
        <w:ind w:hanging="0" w:start="720" w:end="720"/>
        <w:rPr/>
      </w:pPr>
      <w:r>
        <w:rPr/>
      </w:r>
    </w:p>
    <w:p>
      <w:pPr>
        <w:pStyle w:val="BodyTextIndent2"/>
        <w:rPr/>
      </w:pPr>
      <w:r>
        <w:rPr/>
        <w:t>While we strongly concur with Dr. Oren’s later assessment that Texas is unlikely to experience the difficulties currently being felt in California, we challenge the assumption that the operationalization of the  “Min ISO” concept is likely to yield the greatest welfare gains to society.</w:t>
      </w:r>
      <w:r>
        <w:br w:type="page"/>
      </w:r>
    </w:p>
    <w:p>
      <w:pPr>
        <w:pStyle w:val="BodyTextIndent2"/>
        <w:rPr/>
      </w:pPr>
      <w:r>
        <w:rPr/>
      </w:r>
    </w:p>
    <w:p>
      <w:pPr>
        <w:pStyle w:val="BodyTextIndent2"/>
        <w:ind w:hanging="0" w:end="0"/>
        <w:rPr/>
      </w:pPr>
      <w:r>
        <w:rPr>
          <w:b/>
        </w:rPr>
        <w:t>DISPATCH</w:t>
      </w:r>
      <w:r>
        <w:rPr/>
        <w:t xml:space="preserve">  </w:t>
      </w:r>
    </w:p>
    <w:p>
      <w:pPr>
        <w:pStyle w:val="BodyTextIndent2"/>
        <w:rPr/>
      </w:pPr>
      <w:r>
        <w:rPr/>
        <w:t xml:space="preserve">We are concerned that in attempting to simplify the market (i.e. the “Min ISO” structure), the rules have become more complicated and at the same time less efficient than they need to be.  </w:t>
      </w:r>
    </w:p>
    <w:p>
      <w:pPr>
        <w:pStyle w:val="BodyTextIndent2"/>
        <w:rPr/>
      </w:pPr>
      <w:r>
        <w:rPr/>
        <w:t>Regarding congestion management, we fundamentally believe that congestion is best managed through the use/creation of price signals.  When prices are not the “tool” used by the dispatcher to solve congestion, then the process becomes cumbersome and necessarily more arbitrary.  We believe a system that aligns the tools of the dispatcher with the objectives of market participants is much more likely to withstand the test of time.  If the dispatcher is using price to manage transmission constraints and assuming that participants have the appropriate commercial incentives to lower their costs, then the market will yield robust, transparent, and efficient outcomes.</w:t>
      </w:r>
    </w:p>
    <w:p>
      <w:pPr>
        <w:pStyle w:val="BodyTextIndent2"/>
        <w:rPr/>
      </w:pPr>
      <w:r>
        <w:rPr/>
        <w:t>In our Reply Brief we noted that ERCOT seemed to heading down a path whereby two congestion management systems are expected to coexist harmoniously.  Dr Oren partially addressed our concerns about the potential problems created through separate “inter” and “intra” zonal congestion management systems with the recommendations listed on Page 23.</w:t>
      </w:r>
      <w:r>
        <w:rPr>
          <w:rStyle w:val="FootnoteCharacters"/>
          <w:rStyle w:val="FootnoteReference"/>
        </w:rPr>
        <w:footnoteReference w:id="2"/>
      </w:r>
      <w:r>
        <w:rPr/>
        <w:t xml:space="preserve">  In essence Dr. Oren’s recommendation is for ERCOT to wait and see if local congestion is material before amending the Protocols.  Experience in other markets, including California, New England, New York and PJM, indicates that congestion will be material, and we do not understand how “inter” and “intra” congestion can be separated – nor why it is desirable to attempt to do so.</w:t>
      </w:r>
    </w:p>
    <w:p>
      <w:pPr>
        <w:pStyle w:val="BodyTextIndent2"/>
        <w:rPr/>
      </w:pPr>
      <w:r>
        <w:rPr/>
        <w:t xml:space="preserve"> </w:t>
      </w:r>
      <w:r>
        <w:rPr/>
        <w:t>To the extent that congestion does become material and the dispatcher does not redispatch on the basis of price, then a Min-ISO has the potential to evolve into an entity with much larger scale and scope.  With this in mind we recommend:</w:t>
      </w:r>
    </w:p>
    <w:p>
      <w:pPr>
        <w:pStyle w:val="BodyTextIndent2"/>
        <w:numPr>
          <w:ilvl w:val="0"/>
          <w:numId w:val="2"/>
        </w:numPr>
        <w:rPr/>
      </w:pPr>
      <w:r>
        <w:rPr/>
        <w:t xml:space="preserve">ERCOT employ dispatch-based pricing to match supply and demand in real time.  </w:t>
      </w:r>
    </w:p>
    <w:p>
      <w:pPr>
        <w:pStyle w:val="BodyTextIndent2"/>
        <w:ind w:hanging="0" w:end="0"/>
        <w:rPr/>
      </w:pPr>
      <w:r>
        <w:rPr/>
        <w:t>This will not only simplify the task of the dispatcher in managing congestion constraints, it does so in a transparent manner that provides price signals to market participants.</w:t>
      </w:r>
    </w:p>
    <w:p>
      <w:pPr>
        <w:pStyle w:val="BodyTextIndent2"/>
        <w:rPr/>
      </w:pPr>
      <w:r>
        <w:rPr/>
      </w:r>
    </w:p>
    <w:p>
      <w:pPr>
        <w:pStyle w:val="BodyTextIndent2"/>
        <w:ind w:hanging="0" w:end="0"/>
        <w:rPr>
          <w:b/>
        </w:rPr>
      </w:pPr>
      <w:r>
        <w:rPr>
          <w:b/>
        </w:rPr>
        <w:t>RISK MANAGEMENT</w:t>
      </w:r>
    </w:p>
    <w:p>
      <w:pPr>
        <w:pStyle w:val="BodyTextIndent2"/>
        <w:rPr/>
      </w:pPr>
      <w:r>
        <w:rPr/>
        <w:t xml:space="preserve"> </w:t>
      </w:r>
      <w:r>
        <w:rPr/>
        <w:t>The ERCOT Protocols will not, in our opinion, create a liquid real time energy market.  Without liquidity, spot prices cannot be relied upon to reflect actual physical supply and demand conditions in real time    While we are encouraged that, unlike other markets, participants will be allowed to hedge their price risk, the market for risk management instruments cannot develop without a viable spot market, and this further reduces the ability of participants to efficiently manage price risk.  It is also doubtful that contract terms and conditions for end use customers will be as favorable as when there is a transparent and liquid spot price.</w:t>
      </w:r>
    </w:p>
    <w:p>
      <w:pPr>
        <w:pStyle w:val="BodyTextIndent2"/>
        <w:rPr/>
      </w:pPr>
      <w:r>
        <w:rPr/>
        <w:t>Given the fundamental importance of the spot market, we were surprised that Dr. Oren did not address why rules that actively seek to minimize it will be beneficial.  In contrast to his conclusion with respect to Question 1, we believe that the ERCOT Protocols will be more likely to deliver the anticipated benefits if:</w:t>
      </w:r>
    </w:p>
    <w:p>
      <w:pPr>
        <w:pStyle w:val="BodyTextIndent2"/>
        <w:numPr>
          <w:ilvl w:val="0"/>
          <w:numId w:val="3"/>
        </w:numPr>
        <w:rPr/>
      </w:pPr>
      <w:r>
        <w:rPr/>
        <w:t xml:space="preserve">The requirement for QSEs to submit balanced schedules is eliminated. </w:t>
      </w:r>
    </w:p>
    <w:p>
      <w:pPr>
        <w:pStyle w:val="BodyTextIndent2"/>
        <w:numPr>
          <w:ilvl w:val="0"/>
          <w:numId w:val="3"/>
        </w:numPr>
        <w:rPr/>
      </w:pPr>
      <w:r>
        <w:rPr/>
        <w:t>The responsibility for dispatch and the related scheduling activities are housed in ERCOT rather than split between the ISO and the QSEs.</w:t>
      </w:r>
    </w:p>
    <w:p>
      <w:pPr>
        <w:pStyle w:val="BodyTextIndent2"/>
        <w:numPr>
          <w:ilvl w:val="0"/>
          <w:numId w:val="3"/>
        </w:numPr>
        <w:rPr/>
      </w:pPr>
      <w:r>
        <w:rPr/>
        <w:t>Penalties associated with “imbalances” in real time are eliminated.</w:t>
      </w:r>
    </w:p>
    <w:p>
      <w:pPr>
        <w:pStyle w:val="BodyTextIndent2"/>
        <w:rPr/>
      </w:pPr>
      <w:r>
        <w:rPr/>
        <w:t xml:space="preserve">We believe these three changes, in combination with the use of dispatch-based pricing, will result in a significantly more efficient market that will yield greater benefits to end use customers and market participants.  Moreover, while these changes may have budgetary effects, they are trivial relative to the potential benefits to end use customers and market participants.  Furthermore we see no reason why these changes would affect the implementation timeline. </w:t>
      </w:r>
    </w:p>
    <w:p>
      <w:pPr>
        <w:pStyle w:val="BodyTextIndent2"/>
        <w:rPr>
          <w:b/>
        </w:rPr>
      </w:pPr>
      <w:r>
        <w:rPr>
          <w:b/>
        </w:rPr>
      </w:r>
    </w:p>
    <w:p>
      <w:pPr>
        <w:pStyle w:val="BodyTextIndent2"/>
        <w:ind w:hanging="0" w:end="0"/>
        <w:rPr>
          <w:b/>
        </w:rPr>
      </w:pPr>
      <w:r>
        <w:rPr>
          <w:b/>
        </w:rPr>
        <w:t>INVESTMENT</w:t>
      </w:r>
    </w:p>
    <w:p>
      <w:pPr>
        <w:pStyle w:val="BodyTextIndent2"/>
        <w:ind w:hanging="0" w:end="0"/>
        <w:rPr/>
      </w:pPr>
      <w:r>
        <w:rPr/>
        <w:tab/>
        <w:t xml:space="preserve">Because the production and transport of electricity is capital intensive, the likely effect of the Protocols on investment should be examined.  With respect to this issue, we are particularly concerned that the Protocols do not create a market structure whereby investment decisions can be optimized </w:t>
      </w:r>
      <w:r>
        <w:rPr>
          <w:i/>
        </w:rPr>
        <w:t>after</w:t>
      </w:r>
      <w:r>
        <w:rPr/>
        <w:t xml:space="preserve"> the investment has taken place.  In well-functioning markets long-term positions are continually optimized as risks, preferences and opportunity costs change.  In markets where it is difficult for participants to optimize their long-term positions, investments are sub-optimal.</w:t>
      </w:r>
    </w:p>
    <w:p>
      <w:pPr>
        <w:pStyle w:val="BodyTextIndent2"/>
        <w:rPr/>
      </w:pPr>
      <w:r>
        <w:rPr/>
        <w:t>The source of our concern is that the lack of price signals and the resulting unlikelihood of the development of risk management instruments will make it hard for participants to efficiently manage long-term positions.</w:t>
      </w:r>
    </w:p>
    <w:p>
      <w:pPr>
        <w:pStyle w:val="BodyTextIndent2"/>
        <w:rPr/>
      </w:pPr>
      <w:r>
        <w:rPr/>
        <w:t xml:space="preserve">In our opinion it is critically important that the institutional structure created by the Protocols send the appropriate signals and facilitate efficient management of long-term risk if ERCOT is to have timely and efficient investment.  </w:t>
      </w:r>
    </w:p>
    <w:p>
      <w:pPr>
        <w:pStyle w:val="BodyTextIndent2"/>
        <w:ind w:hanging="0" w:end="0"/>
        <w:rPr/>
      </w:pPr>
      <w:r>
        <w:rPr/>
      </w:r>
    </w:p>
    <w:p>
      <w:pPr>
        <w:pStyle w:val="BodyTextIndent2"/>
        <w:ind w:hanging="0" w:end="0"/>
        <w:rPr>
          <w:b/>
        </w:rPr>
      </w:pPr>
      <w:r>
        <w:rPr>
          <w:b/>
        </w:rPr>
        <w:t>END USE CUSTOMERS</w:t>
      </w:r>
    </w:p>
    <w:p>
      <w:pPr>
        <w:pStyle w:val="BodyTextIndent2"/>
        <w:rPr/>
      </w:pPr>
      <w:r>
        <w:rPr/>
        <w:t xml:space="preserve"> </w:t>
      </w:r>
      <w:r>
        <w:rPr/>
        <w:t>The purpose of Senate Bill 7 was to deliver lower electricity prices to end use customers.  It is relevant, therefore, to ask the question whether or not the Protocols will facilitate a market capable of delivering lower prices to consumers.  Given our concerns about dispatch, risk management and investment, we are not convinced that the market envisioned by the Protocols will lead to lower prices.</w:t>
      </w:r>
    </w:p>
    <w:p>
      <w:pPr>
        <w:pStyle w:val="BodyTextIndent2"/>
        <w:ind w:hanging="0" w:end="0"/>
        <w:rPr/>
      </w:pPr>
      <w:r>
        <w:rPr/>
        <w:t xml:space="preserve">  </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Indent3"/>
        <w:ind w:start="0" w:end="720"/>
        <w:rPr/>
      </w:pPr>
      <w:r>
        <w:rPr>
          <w:rStyle w:val="FootnoteCharacters"/>
        </w:rPr>
        <w:footnoteRef/>
      </w:r>
      <w:r>
        <w:rPr/>
        <w:t xml:space="preserve"> </w:t>
      </w:r>
      <w:r>
        <w:rPr>
          <w:sz w:val="20"/>
        </w:rPr>
        <w:t>(1) Monitor the difference between allocation of interzonal congestion cost based on the commercial model versus the allocation that would result using actual shift factors. (2) Monitor how intrazonal redispatch to solve local congestion affects interzonal congestion and keep track of the additional redispatch cost for relieving interzonal congestion (caused by intrazonal redispatch) that was not accounted for by the commercial model. (3) If empirical evidence accumulated after the zonal approach has been implemented indicates significant systematic misallocations of congestion costs or a need for creating a large number of zones, a hybrid approach based on a zonal forward market (with a small number of zones) and an LMP based real time settlement of congestion costs should be considered.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500"/>
        </w:tabs>
        <w:ind w:start="1500" w:hanging="360"/>
      </w:pPr>
      <w:rPr>
        <w:rFonts w:ascii="Symbol" w:hAnsi="Symbol" w:cs="Symbol" w:hint="default"/>
      </w:rPr>
    </w:lvl>
  </w:abstractNum>
  <w:abstractNum w:abstractNumId="3">
    <w:lvl w:ilvl="0">
      <w:start w:val="1"/>
      <w:numFmt w:val="bullet"/>
      <w:lvlText w:val=""/>
      <w:lvlJc w:val="start"/>
      <w:pPr>
        <w:tabs>
          <w:tab w:val="num" w:pos="1500"/>
        </w:tabs>
        <w:ind w:start="150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ind w:hanging="0" w:start="720" w:end="0"/>
      <w:outlineLvl w:val="2"/>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jc w:val="center"/>
    </w:pPr>
    <w:rPr>
      <w:b/>
      <w:bCs/>
      <w:sz w:val="28"/>
    </w:rPr>
  </w:style>
  <w:style w:type="paragraph" w:styleId="List">
    <w:name w:val="List"/>
    <w:basedOn w:val="BodyText"/>
    <w:pPr/>
    <w:rPr>
      <w:rFonts w:cs="NotoSans NF"/>
    </w:rPr>
  </w:style>
  <w:style w:type="paragraph" w:styleId="Caption">
    <w:name w:val="caption"/>
    <w:basedOn w:val="Normal"/>
    <w:next w:val="Normal"/>
    <w:qFormat/>
    <w:pPr>
      <w:jc w:val="center"/>
    </w:pPr>
    <w:rPr>
      <w:b/>
      <w:szCs w:val="20"/>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sz w:val="28"/>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spacing w:lineRule="auto" w:line="480"/>
      <w:ind w:firstLine="36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jc w:val="both"/>
    </w:pPr>
    <w:rPr>
      <w:bCs/>
    </w:rPr>
  </w:style>
  <w:style w:type="paragraph" w:styleId="BodyTextIndent3">
    <w:name w:val="Body Text Indent 3"/>
    <w:basedOn w:val="Normal"/>
    <w:qFormat/>
    <w:pPr>
      <w:ind w:hanging="0" w:start="-36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2001-02-14T13:55:00Z</dcterms:created>
  <dc:creator>rkittel</dc:creator>
  <dc:description/>
  <dc:language>en-CA</dc:language>
  <cp:lastModifiedBy>Marianne Carroll</cp:lastModifiedBy>
  <cp:lastPrinted>2001-02-14T09:56:00Z</cp:lastPrinted>
  <dcterms:modified xsi:type="dcterms:W3CDTF">2001-02-14T13:55:00Z</dcterms:modified>
  <cp:revision>2</cp:revision>
  <dc:subject/>
  <dc:title>DOCKET NO</dc:title>
</cp:coreProperties>
</file>