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i/>
        </w:rPr>
        <w:t>"Enron Platform"</w:t>
      </w:r>
      <w:r>
        <w:rPr/>
        <w:t xml:space="preserve"> means the proprietary electronic trading facility owned or operated by Enron that is currently operated through the website located at </w:t>
      </w:r>
      <w:hyperlink r:id="rId2">
        <w:r>
          <w:rPr>
            <w:rStyle w:val="Hyperlink"/>
          </w:rPr>
          <w:t>www.enrononline.com</w:t>
        </w:r>
      </w:hyperlink>
      <w:r>
        <w:rPr/>
        <w:t>., and any successor electronic trading facility.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Accenture gets: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-Field of use covers all transactions generated by the Enron Platform as defined above.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Accenture does not get: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-Field of use does cover any new electronic trading facilities owned and operated by Enron that list products substantially dissimilar to those listed on the Enron Platform.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nrononline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2001-06-01T13:27:00Z</dcterms:created>
  <dc:creator>azipper</dc:creator>
  <dc:description/>
  <dc:language>en-CA</dc:language>
  <cp:lastModifiedBy>azipper</cp:lastModifiedBy>
  <dcterms:modified xsi:type="dcterms:W3CDTF">2001-06-01T13:31:00Z</dcterms:modified>
  <cp:revision>1</cp:revision>
  <dc:subject/>
  <dc:title>"Enron Platform" means the proprietary electronic trading facility owned or operated by Enron that is currently operated through the website located at www</dc:title>
</cp:coreProperties>
</file>