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9576"/>
      </w:tblGrid>
      <w:tr>
        <w:trPr/>
        <w:tc>
          <w:tcPr>
            <w:tcW w:w="9576" w:type="dxa"/>
            <w:tcBorders/>
          </w:tcPr>
          <w:p>
            <w:pPr>
              <w:pStyle w:val="Normal"/>
              <w:tabs>
                <w:tab w:val="clear" w:pos="720"/>
                <w:tab w:val="left" w:pos="2412" w:leader="none"/>
              </w:tabs>
              <w:ind w:start="1242" w:end="0"/>
              <w:rPr>
                <w:b/>
              </w:rPr>
            </w:pPr>
            <w:r>
              <w:rPr>
                <w:b/>
              </w:rPr>
              <w:t xml:space="preserve">Morgan Stanley Capital Group Inc. </w:t>
            </w:r>
          </w:p>
          <w:p>
            <w:pPr>
              <w:pStyle w:val="Normal"/>
              <w:tabs>
                <w:tab w:val="clear" w:pos="720"/>
                <w:tab w:val="left" w:pos="2412" w:leader="none"/>
              </w:tabs>
              <w:ind w:start="1242" w:end="0"/>
              <w:rPr>
                <w:b/>
              </w:rPr>
            </w:pPr>
            <w:r>
              <w:rPr>
                <w:b/>
              </w:rPr>
              <w:t>1585 Broadway</w:t>
            </w:r>
          </w:p>
          <w:p>
            <w:pPr>
              <w:pStyle w:val="Normal"/>
              <w:tabs>
                <w:tab w:val="clear" w:pos="720"/>
                <w:tab w:val="left" w:pos="2412" w:leader="none"/>
              </w:tabs>
              <w:ind w:start="1242" w:end="0"/>
              <w:rPr>
                <w:i/>
                <w:i/>
              </w:rPr>
            </w:pPr>
            <w:r>
              <w:rPr>
                <w:b/>
              </w:rPr>
              <w:t>4</w:t>
            </w:r>
            <w:r>
              <w:rPr>
                <w:b/>
                <w:vertAlign w:val="superscript"/>
              </w:rPr>
              <w:t>th</w:t>
            </w:r>
            <w:r>
              <w:rPr>
                <w:b/>
              </w:rPr>
              <w:t xml:space="preserve"> Floor Attn: Commodities</w:t>
            </w:r>
          </w:p>
          <w:p>
            <w:pPr>
              <w:pStyle w:val="Normal"/>
              <w:tabs>
                <w:tab w:val="clear" w:pos="720"/>
                <w:tab w:val="left" w:pos="2412" w:leader="none"/>
              </w:tabs>
              <w:ind w:start="1242" w:end="0"/>
              <w:rPr>
                <w:b/>
              </w:rPr>
            </w:pPr>
            <w:r>
              <w:rPr>
                <w:b/>
              </w:rPr>
              <w:t>New York, NY 10036</w:t>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Normal"/>
        <w:jc w:val="center"/>
        <w:rPr>
          <w:b/>
        </w:rPr>
      </w:pPr>
      <w:r>
        <w:rPr>
          <w:b/>
        </w:rPr>
      </w:r>
    </w:p>
    <w:p>
      <w:pPr>
        <w:pStyle w:val="Normal"/>
        <w:jc w:val="center"/>
        <w:rPr>
          <w:b/>
        </w:rPr>
      </w:pPr>
      <w:r>
        <w:rPr>
          <w:b/>
        </w:rPr>
      </w:r>
    </w:p>
    <w:p>
      <w:pPr>
        <w:pStyle w:val="Normal"/>
        <w:jc w:val="center"/>
        <w:rPr>
          <w:b/>
        </w:rPr>
      </w:pPr>
      <w:r>
        <w:rPr>
          <w:b/>
        </w:rPr>
        <w:t>CONFIRMATION</w:t>
      </w:r>
    </w:p>
    <w:p>
      <w:pPr>
        <w:pStyle w:val="Normal"/>
        <w:jc w:val="center"/>
        <w:rPr>
          <w:b/>
        </w:rPr>
      </w:pPr>
      <w:r>
        <w:rPr>
          <w:b/>
        </w:rPr>
        <w:t>(SWAP)</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tabs>
          <w:tab w:val="clear" w:pos="720"/>
          <w:tab w:val="left" w:pos="1080" w:leader="none"/>
        </w:tabs>
        <w:rPr/>
      </w:pPr>
      <w:r>
        <w:rPr/>
        <w:t>Date:</w:t>
        <w:tab/>
        <w:t>September 13, 2001</w:t>
      </w:r>
    </w:p>
    <w:p>
      <w:pPr>
        <w:pStyle w:val="Normal"/>
        <w:tabs>
          <w:tab w:val="clear" w:pos="720"/>
          <w:tab w:val="left" w:pos="1080" w:leader="none"/>
        </w:tabs>
        <w:rPr/>
      </w:pPr>
      <w:r>
        <w:rPr/>
        <w:t>To:</w:t>
        <w:tab/>
        <w:t>Enron North America Corp.</w:t>
      </w:r>
    </w:p>
    <w:p>
      <w:pPr>
        <w:pStyle w:val="Normal"/>
        <w:tabs>
          <w:tab w:val="clear" w:pos="720"/>
          <w:tab w:val="left" w:pos="1080" w:leader="none"/>
        </w:tabs>
        <w:rPr/>
      </w:pPr>
      <w:r>
        <w:rPr/>
        <w:t>Attention:</w:t>
        <w:tab/>
      </w:r>
    </w:p>
    <w:p>
      <w:pPr>
        <w:pStyle w:val="Normal"/>
        <w:tabs>
          <w:tab w:val="clear" w:pos="720"/>
          <w:tab w:val="left" w:pos="1080" w:leader="none"/>
        </w:tabs>
        <w:rPr/>
      </w:pPr>
      <w:r>
        <w:rPr/>
        <w:t>Fax No:</w:t>
        <w:tab/>
      </w:r>
    </w:p>
    <w:p>
      <w:pPr>
        <w:pStyle w:val="Normal"/>
        <w:tabs>
          <w:tab w:val="clear" w:pos="720"/>
          <w:tab w:val="left" w:pos="1080" w:leader="none"/>
        </w:tabs>
        <w:rPr/>
      </w:pPr>
      <w:r>
        <w:rPr/>
        <w:t>From:</w:t>
        <w:tab/>
        <w:t>Morgan Stanley Capital Group Inc</w:t>
      </w:r>
    </w:p>
    <w:p>
      <w:pPr>
        <w:pStyle w:val="Normal"/>
        <w:tabs>
          <w:tab w:val="clear" w:pos="720"/>
          <w:tab w:val="left" w:pos="1080" w:leader="none"/>
        </w:tabs>
        <w:rPr/>
      </w:pPr>
      <w:r>
        <w:rPr/>
        <w:t>Phone</w:t>
      </w:r>
    </w:p>
    <w:p>
      <w:pPr>
        <w:pStyle w:val="Normal"/>
        <w:tabs>
          <w:tab w:val="clear" w:pos="720"/>
          <w:tab w:val="left" w:pos="1080" w:leader="none"/>
        </w:tabs>
        <w:rPr/>
      </w:pPr>
      <w:r>
        <w:rPr/>
        <w:t>Fax:</w:t>
        <w:tab/>
      </w:r>
    </w:p>
    <w:p>
      <w:pPr>
        <w:pStyle w:val="Normal"/>
        <w:tabs>
          <w:tab w:val="clear" w:pos="720"/>
          <w:tab w:val="left" w:pos="1080" w:leader="none"/>
        </w:tabs>
        <w:rPr>
          <w:u w:val="single"/>
        </w:rPr>
      </w:pPr>
      <w:r>
        <w:rPr/>
        <w:t>Re:</w:t>
        <w:tab/>
      </w:r>
    </w:p>
    <w:p>
      <w:pPr>
        <w:pStyle w:val="Style11"/>
        <w:rPr>
          <w:rFonts w:ascii="Times New Roman" w:hAnsi="Times New Roman" w:cs="Times New Roman"/>
          <w:u w:val="single"/>
        </w:rPr>
      </w:pPr>
      <w:r>
        <w:rPr>
          <w:rFonts w:cs="Times New Roman" w:ascii="Times New Roman" w:hAnsi="Times New Roman"/>
          <w:u w:val="single"/>
        </w:rPr>
      </w:r>
    </w:p>
    <w:p>
      <w:pPr>
        <w:pStyle w:val="Normal"/>
        <w:rPr/>
      </w:pPr>
      <w:r>
        <w:rPr/>
        <w:t xml:space="preserve">MSCGI reference number: </w:t>
        <w:tab/>
        <w:tab/>
        <w:t>/ Version 1</w:t>
      </w:r>
    </w:p>
    <w:p>
      <w:pPr>
        <w:pStyle w:val="Normal"/>
        <w:rPr/>
      </w:pPr>
      <w:r>
        <w:rPr/>
      </w:r>
    </w:p>
    <w:p>
      <w:pPr>
        <w:pStyle w:val="Normal"/>
        <w:spacing w:lineRule="atLeast" w:line="240"/>
        <w:jc w:val="both"/>
        <w:rPr/>
      </w:pPr>
      <w:r>
        <w:rPr>
          <w:color w:val="000000"/>
        </w:rPr>
        <w:t xml:space="preserve">The purpose of this letter agreement (this “Confirmation") is to confirm the terms and conditions of the transaction entered into between us on the Trade Date specified below (the "Transaction").  This letter agreement constitutes a “Confirmation” as referred to in the 1992 Master Energy Price Swap Agreement as specified below. </w:t>
      </w:r>
      <w:r>
        <w:rPr>
          <w:color w:val="FF0000"/>
        </w:rPr>
        <w:t>This Confirmation supersedes any previous Confirmation or other communication with respect to the Transaction and evidences a complete and binding agreement between us as to the terms of the Transaction.</w:t>
      </w:r>
    </w:p>
    <w:p>
      <w:pPr>
        <w:pStyle w:val="Normal"/>
        <w:spacing w:lineRule="atLeast" w:line="240"/>
        <w:jc w:val="both"/>
        <w:rPr>
          <w:color w:val="000000"/>
        </w:rPr>
      </w:pPr>
      <w:r>
        <w:rPr>
          <w:color w:val="000000"/>
        </w:rPr>
      </w:r>
    </w:p>
    <w:p>
      <w:pPr>
        <w:pStyle w:val="Normal"/>
        <w:tabs>
          <w:tab w:val="clear" w:pos="720"/>
          <w:tab w:val="left" w:pos="2610" w:leader="none"/>
        </w:tabs>
        <w:jc w:val="both"/>
        <w:rPr/>
      </w:pPr>
      <w:r>
        <w:rPr>
          <w:spacing w:val="-3"/>
          <w:lang w:val="en-GB"/>
        </w:rPr>
        <w:t xml:space="preserve">This Confirmation supplements, forms part of, and is subject to, the 1992 Master Energy Price Swap Agreement dated as of 16 June 1992 as amended and supplemented from time to time (the “Agreement”), between Morgan Stanley Capital Group Inc. (“MSCGI”) and Enron North America Corp. (“COUNTERPARTY”). All provisions contained in the Agreement govern this Confirmation except as expressly modified below. </w:t>
      </w:r>
      <w:r>
        <w:rPr>
          <w:strike/>
          <w:color w:val="0000FF"/>
          <w:spacing w:val="-3"/>
          <w:lang w:val="en-GB"/>
        </w:rPr>
        <w:t>A person who is not a party to this agreement has no right under the  Contracts (Rights of Third Parties) Act 1999 to enforce any term of this agreement.</w:t>
      </w:r>
      <w:r>
        <w:rPr>
          <w:color w:val="0000FF"/>
          <w:spacing w:val="-3"/>
          <w:lang w:val="en-GB"/>
        </w:rPr>
        <w:t xml:space="preserve">    </w:t>
      </w:r>
    </w:p>
    <w:p>
      <w:pPr>
        <w:pStyle w:val="Normal"/>
        <w:tabs>
          <w:tab w:val="clear" w:pos="720"/>
          <w:tab w:val="left" w:pos="2610" w:leader="none"/>
        </w:tabs>
        <w:jc w:val="both"/>
        <w:rPr>
          <w:color w:val="FF0000"/>
          <w:spacing w:val="-3"/>
          <w:lang w:val="en-GB"/>
        </w:rPr>
      </w:pPr>
      <w:r>
        <w:rPr>
          <w:color w:val="FF0000"/>
          <w:spacing w:val="-3"/>
          <w:lang w:val="en-GB"/>
        </w:rPr>
      </w:r>
    </w:p>
    <w:p>
      <w:pPr>
        <w:pStyle w:val="BodyText2"/>
        <w:rPr>
          <w:spacing w:val="-3"/>
          <w:lang w:val="en-GB"/>
        </w:rPr>
      </w:pPr>
      <w:r>
        <w:rPr/>
        <w:t>Each word and term in this Confirmation which is expressed in capital letters and not defined in the Agreement shall have the meanings given to it by the 1993 ISDA Commodity Derivatives Definitions, as supplemented by the 2000 Supplement to the 1993 ISDA Commodity Derivatives Definitions, as published by the International Swaps and Derivatives Association Inc.</w:t>
      </w:r>
    </w:p>
    <w:p>
      <w:pPr>
        <w:pStyle w:val="Style11"/>
        <w:jc w:val="both"/>
        <w:rPr>
          <w:rFonts w:ascii="Times New Roman" w:hAnsi="Times New Roman" w:cs="Times New Roman"/>
          <w:color w:val="000000"/>
          <w:spacing w:val="-3"/>
          <w:lang w:val="en-GB"/>
        </w:rPr>
      </w:pPr>
      <w:r>
        <w:rPr>
          <w:rFonts w:cs="Times New Roman" w:ascii="Times New Roman" w:hAnsi="Times New Roman"/>
          <w:color w:val="000000"/>
          <w:spacing w:val="-3"/>
          <w:lang w:val="en-GB"/>
        </w:rPr>
      </w:r>
    </w:p>
    <w:p>
      <w:pPr>
        <w:pStyle w:val="Style11"/>
        <w:jc w:val="both"/>
        <w:rPr/>
      </w:pPr>
      <w:r>
        <w:rPr>
          <w:rFonts w:cs="Times New Roman" w:ascii="Times New Roman" w:hAnsi="Times New Roman"/>
          <w:color w:val="FF0000"/>
        </w:rPr>
        <w:t xml:space="preserve">Each party represents to the other that it is entering into this Transaction as principal (and not as agent or in any other capacity) with the full understanding of the terms, conditions and risks thereof and that it is capable of and willing to assume those risks.   </w:t>
      </w:r>
      <w:r>
        <w:rPr>
          <w:rFonts w:cs="Times New Roman" w:ascii="Times New Roman" w:hAnsi="Times New Roman"/>
          <w:color w:val="0000FF"/>
        </w:rPr>
        <w:t>Each party further represents that:</w:t>
      </w:r>
    </w:p>
    <w:p>
      <w:pPr>
        <w:pStyle w:val="Style11"/>
        <w:numPr>
          <w:ilvl w:val="0"/>
          <w:numId w:val="2"/>
        </w:numPr>
        <w:jc w:val="both"/>
        <w:rPr>
          <w:rFonts w:ascii="Times New Roman" w:hAnsi="Times New Roman" w:cs="Times New Roman"/>
          <w:color w:val="0000FF"/>
        </w:rPr>
      </w:pPr>
      <w:r>
        <w:rPr>
          <w:rFonts w:cs="Times New Roman" w:ascii="Times New Roman" w:hAnsi="Times New Roman"/>
          <w:color w:val="0000FF"/>
        </w:rPr>
        <w:t>it is not reply upon any representations of the other party other than those expressly set forth herein or any written guarantee of the obligations hereof.</w:t>
      </w:r>
    </w:p>
    <w:p>
      <w:pPr>
        <w:pStyle w:val="Style11"/>
        <w:numPr>
          <w:ilvl w:val="0"/>
          <w:numId w:val="2"/>
        </w:numPr>
        <w:jc w:val="both"/>
        <w:rPr>
          <w:rFonts w:ascii="Times New Roman" w:hAnsi="Times New Roman" w:cs="Times New Roman"/>
          <w:color w:val="0000FF"/>
        </w:rPr>
      </w:pPr>
      <w:r>
        <w:rPr>
          <w:rFonts w:cs="Times New Roman" w:ascii="Times New Roman" w:hAnsi="Times New Roman"/>
          <w:color w:val="0000FF"/>
        </w:rPr>
        <w:t>it has made its investment and trading decisions (including regarding the suitability hereof) based upon its own judgment and any advice from such advisors as it has deemed necessary, and not in reliance upon any view expressed by the other party.</w:t>
      </w:r>
    </w:p>
    <w:p>
      <w:pPr>
        <w:pStyle w:val="Style11"/>
        <w:numPr>
          <w:ilvl w:val="0"/>
          <w:numId w:val="2"/>
        </w:numPr>
        <w:jc w:val="both"/>
        <w:rPr>
          <w:rFonts w:ascii="Times New Roman" w:hAnsi="Times New Roman" w:cs="Times New Roman"/>
          <w:color w:val="0000FF"/>
        </w:rPr>
      </w:pPr>
      <w:r>
        <w:rPr>
          <w:rFonts w:cs="Times New Roman" w:ascii="Times New Roman" w:hAnsi="Times New Roman"/>
          <w:color w:val="0000FF"/>
        </w:rPr>
        <w:t>the other party is not acting as a fiduciary or an advisor for it, not has given to it any assurance or guarantee as to the expected performance or result of this Agreement.</w:t>
      </w:r>
    </w:p>
    <w:p>
      <w:pPr>
        <w:pStyle w:val="Normal"/>
        <w:tabs>
          <w:tab w:val="clear" w:pos="720"/>
          <w:tab w:val="left" w:pos="0" w:leader="none"/>
        </w:tabs>
        <w:spacing w:lineRule="atLeast" w:line="240"/>
        <w:jc w:val="both"/>
        <w:rPr>
          <w:rFonts w:ascii="Times New Roman" w:hAnsi="Times New Roman" w:cs="Times New Roman"/>
          <w:color w:val="000000"/>
        </w:rPr>
      </w:pPr>
      <w:r>
        <w:rPr>
          <w:rFonts w:cs="Times New Roman"/>
          <w:color w:val="000000"/>
        </w:rPr>
      </w:r>
    </w:p>
    <w:p>
      <w:pPr>
        <w:pStyle w:val="Normal"/>
        <w:jc w:val="both"/>
        <w:rPr>
          <w:color w:val="000000"/>
        </w:rPr>
      </w:pPr>
      <w:r>
        <w:rPr>
          <w:color w:val="000000"/>
        </w:rPr>
        <w:t>The terms of the particular Transaction to which this Confirmation relates are as follows:</w:t>
      </w:r>
    </w:p>
    <w:p>
      <w:pPr>
        <w:pStyle w:val="Normal"/>
        <w:jc w:val="both"/>
        <w:rPr>
          <w:color w:val="000000"/>
          <w:spacing w:val="-2"/>
          <w:lang w:val="en-GB"/>
        </w:rPr>
      </w:pPr>
      <w:r>
        <w:rPr>
          <w:color w:val="000000"/>
          <w:spacing w:val="-2"/>
          <w:lang w:val="en-GB"/>
        </w:rPr>
      </w:r>
    </w:p>
    <w:p>
      <w:pPr>
        <w:pStyle w:val="Normal"/>
        <w:jc w:val="both"/>
        <w:rPr>
          <w:spacing w:val="-2"/>
          <w:lang w:val="en-GB"/>
        </w:rPr>
      </w:pPr>
      <w:r>
        <w:rPr>
          <w:spacing w:val="-2"/>
          <w:lang w:val="en-GB"/>
        </w:rPr>
      </w:r>
    </w:p>
    <w:p>
      <w:pPr>
        <w:pStyle w:val="Normal"/>
        <w:jc w:val="both"/>
        <w:rPr>
          <w:lang w:val="en-GB"/>
        </w:rPr>
      </w:pPr>
      <w:r>
        <w:rPr>
          <w:lang w:val="en-GB"/>
        </w:rPr>
        <w:t>Total Notional Quantity:</w:t>
        <w:tab/>
        <w:tab/>
        <w:t>22,000,000 barrels</w:t>
      </w:r>
    </w:p>
    <w:p>
      <w:pPr>
        <w:pStyle w:val="Normal"/>
        <w:jc w:val="both"/>
        <w:rPr>
          <w:lang w:val="en-GB"/>
        </w:rPr>
      </w:pPr>
      <w:r>
        <w:rPr>
          <w:lang w:val="en-GB"/>
        </w:rPr>
      </w:r>
    </w:p>
    <w:p>
      <w:pPr>
        <w:pStyle w:val="Normal"/>
        <w:jc w:val="both"/>
        <w:rPr>
          <w:lang w:val="en-GB"/>
        </w:rPr>
      </w:pPr>
      <w:r>
        <w:rPr>
          <w:lang w:val="en-GB"/>
        </w:rPr>
        <w:t>Notional Quantity per</w:t>
      </w:r>
    </w:p>
    <w:p>
      <w:pPr>
        <w:pStyle w:val="BodyTextIndent3"/>
        <w:rPr/>
      </w:pPr>
      <w:r>
        <w:rPr/>
        <w:t>Calculation Period:</w:t>
        <w:tab/>
        <w:t>For each Calculation Period, 5,500,000 Barrels per Settlement</w:t>
      </w:r>
    </w:p>
    <w:p>
      <w:pPr>
        <w:pStyle w:val="Normal"/>
        <w:jc w:val="both"/>
        <w:rPr>
          <w:lang w:val="en-GB"/>
        </w:rPr>
      </w:pPr>
      <w:r>
        <w:rPr>
          <w:lang w:val="en-GB"/>
        </w:rPr>
      </w:r>
    </w:p>
    <w:p>
      <w:pPr>
        <w:pStyle w:val="Normal"/>
        <w:jc w:val="both"/>
        <w:rPr>
          <w:lang w:val="en-GB"/>
        </w:rPr>
      </w:pPr>
      <w:r>
        <w:rPr>
          <w:lang w:val="en-GB"/>
        </w:rPr>
        <w:t>Commodity Type:</w:t>
        <w:tab/>
        <w:tab/>
        <w:tab/>
        <w:t>OIL-WTI-NYMEX</w:t>
      </w:r>
    </w:p>
    <w:p>
      <w:pPr>
        <w:pStyle w:val="Normal"/>
        <w:jc w:val="both"/>
        <w:rPr>
          <w:lang w:val="en-GB"/>
        </w:rPr>
      </w:pPr>
      <w:r>
        <w:rPr>
          <w:lang w:val="en-GB"/>
        </w:rPr>
      </w:r>
    </w:p>
    <w:p>
      <w:pPr>
        <w:pStyle w:val="Normal"/>
        <w:jc w:val="both"/>
        <w:rPr>
          <w:color w:val="FF0000"/>
          <w:lang w:val="en-GB"/>
        </w:rPr>
      </w:pPr>
      <w:r>
        <w:rPr>
          <w:color w:val="FF0000"/>
          <w:lang w:val="en-GB"/>
        </w:rPr>
        <w:t>Trade Date:</w:t>
        <w:tab/>
        <w:tab/>
        <w:tab/>
        <w:tab/>
        <w:t>September , 2001</w:t>
      </w:r>
    </w:p>
    <w:p>
      <w:pPr>
        <w:pStyle w:val="Normal"/>
        <w:jc w:val="both"/>
        <w:rPr>
          <w:color w:val="FF0000"/>
          <w:lang w:val="en-GB"/>
        </w:rPr>
      </w:pPr>
      <w:r>
        <w:rPr>
          <w:color w:val="FF0000"/>
          <w:lang w:val="en-GB"/>
        </w:rPr>
      </w:r>
    </w:p>
    <w:p>
      <w:pPr>
        <w:pStyle w:val="Normal"/>
        <w:jc w:val="both"/>
        <w:rPr>
          <w:lang w:val="en-GB"/>
        </w:rPr>
      </w:pPr>
      <w:r>
        <w:rPr>
          <w:lang w:val="en-GB"/>
        </w:rPr>
        <w:t>Effective Date:</w:t>
        <w:tab/>
        <w:tab/>
        <w:tab/>
        <w:t>September 17, 2001</w:t>
      </w:r>
    </w:p>
    <w:p>
      <w:pPr>
        <w:pStyle w:val="Normal"/>
        <w:jc w:val="both"/>
        <w:rPr>
          <w:lang w:val="en-GB"/>
        </w:rPr>
      </w:pPr>
      <w:r>
        <w:rPr>
          <w:lang w:val="en-GB"/>
        </w:rPr>
      </w:r>
    </w:p>
    <w:p>
      <w:pPr>
        <w:pStyle w:val="Normal"/>
        <w:ind w:hanging="3600" w:start="3600" w:end="0"/>
        <w:jc w:val="both"/>
        <w:rPr/>
      </w:pPr>
      <w:r>
        <w:rPr>
          <w:lang w:val="en-GB"/>
        </w:rPr>
        <w:t>Termination Date:</w:t>
        <w:tab/>
        <w:t xml:space="preserve">September 16, 2002, </w:t>
      </w:r>
      <w:r>
        <w:rPr>
          <w:color w:val="FF0000"/>
          <w:lang w:val="en-GB"/>
        </w:rPr>
        <w:t>subject to adjustment in accordance with the Modified Following Business Day Convention</w:t>
      </w:r>
    </w:p>
    <w:p>
      <w:pPr>
        <w:pStyle w:val="Normal"/>
        <w:jc w:val="both"/>
        <w:rPr>
          <w:color w:val="FF0000"/>
          <w:lang w:val="en-GB"/>
        </w:rPr>
      </w:pPr>
      <w:r>
        <w:rPr>
          <w:color w:val="FF0000"/>
          <w:lang w:val="en-GB"/>
        </w:rPr>
      </w:r>
    </w:p>
    <w:p>
      <w:pPr>
        <w:pStyle w:val="Normal"/>
        <w:ind w:hanging="3600" w:start="3600" w:end="0"/>
        <w:jc w:val="both"/>
        <w:rPr>
          <w:b/>
          <w:u w:val="single"/>
        </w:rPr>
      </w:pPr>
      <w:r>
        <w:rPr>
          <w:lang w:val="en-GB"/>
        </w:rPr>
        <w:t>Calculation Period(s):</w:t>
        <w:tab/>
        <w:t>Quarterly</w:t>
      </w:r>
      <w:r>
        <w:rPr/>
        <w:t xml:space="preserve"> </w:t>
      </w:r>
    </w:p>
    <w:p>
      <w:pPr>
        <w:pStyle w:val="Normal"/>
        <w:jc w:val="both"/>
        <w:rPr>
          <w:b/>
          <w:u w:val="single"/>
          <w:lang w:val="en-GB"/>
        </w:rPr>
      </w:pPr>
      <w:r>
        <w:rPr>
          <w:b/>
          <w:u w:val="single"/>
          <w:lang w:val="en-GB"/>
        </w:rPr>
      </w:r>
    </w:p>
    <w:p>
      <w:pPr>
        <w:pStyle w:val="Normal"/>
        <w:jc w:val="both"/>
        <w:rPr>
          <w:b/>
          <w:u w:val="single"/>
          <w:lang w:val="en-GB"/>
        </w:rPr>
      </w:pPr>
      <w:r>
        <w:rPr>
          <w:b/>
          <w:u w:val="single"/>
          <w:lang w:val="en-GB"/>
        </w:rPr>
      </w:r>
    </w:p>
    <w:p>
      <w:pPr>
        <w:pStyle w:val="Normal"/>
        <w:jc w:val="both"/>
        <w:rPr>
          <w:lang w:val="en-GB"/>
        </w:rPr>
      </w:pPr>
      <w:r>
        <w:rPr>
          <w:b/>
          <w:u w:val="single"/>
          <w:lang w:val="en-GB"/>
        </w:rPr>
        <w:t>Fixed Amount Details</w:t>
      </w:r>
    </w:p>
    <w:p>
      <w:pPr>
        <w:pStyle w:val="Normal"/>
        <w:jc w:val="both"/>
        <w:rPr>
          <w:lang w:val="en-GB"/>
        </w:rPr>
      </w:pPr>
      <w:r>
        <w:rPr>
          <w:lang w:val="en-GB"/>
        </w:rPr>
      </w:r>
    </w:p>
    <w:p>
      <w:pPr>
        <w:pStyle w:val="Normal"/>
        <w:jc w:val="both"/>
        <w:rPr>
          <w:lang w:val="en-GB"/>
        </w:rPr>
      </w:pPr>
      <w:r>
        <w:rPr>
          <w:lang w:val="en-GB"/>
        </w:rPr>
        <w:t>Fixed Amount Payer:</w:t>
        <w:tab/>
        <w:tab/>
        <w:tab/>
        <w:t>Enron North America Corp (“COUNTERPARTY”)</w:t>
      </w:r>
    </w:p>
    <w:p>
      <w:pPr>
        <w:pStyle w:val="Normal"/>
        <w:jc w:val="both"/>
        <w:rPr>
          <w:lang w:val="en-GB"/>
        </w:rPr>
      </w:pPr>
      <w:r>
        <w:rPr>
          <w:lang w:val="en-GB"/>
        </w:rPr>
      </w:r>
    </w:p>
    <w:p>
      <w:pPr>
        <w:pStyle w:val="Normal"/>
        <w:jc w:val="both"/>
        <w:rPr>
          <w:lang w:val="en-GB"/>
        </w:rPr>
      </w:pPr>
      <w:r>
        <w:rPr>
          <w:lang w:val="en-GB"/>
        </w:rPr>
        <w:t>Fixed Amount:</w:t>
        <w:tab/>
        <w:tab/>
        <w:tab/>
        <w:t>Unknown USD per Barrel</w:t>
      </w:r>
    </w:p>
    <w:p>
      <w:pPr>
        <w:pStyle w:val="Normal"/>
        <w:jc w:val="both"/>
        <w:rPr>
          <w:lang w:val="en-GB"/>
        </w:rPr>
      </w:pPr>
      <w:r>
        <w:rPr>
          <w:lang w:val="en-GB"/>
        </w:rPr>
      </w:r>
    </w:p>
    <w:p>
      <w:pPr>
        <w:pStyle w:val="BodyTextIndent3"/>
        <w:rPr/>
      </w:pPr>
      <w:r>
        <w:rPr/>
        <w:t>Fixed Amount Payment Date:</w:t>
        <w:tab/>
        <w:t xml:space="preserve">Payment Dates 5 days after the end of the Calculation Period. </w:t>
      </w:r>
    </w:p>
    <w:p>
      <w:pPr>
        <w:pStyle w:val="Normal"/>
        <w:ind w:hanging="3600" w:start="3600" w:end="0"/>
        <w:jc w:val="both"/>
        <w:rPr>
          <w:lang w:val="en-GB"/>
        </w:rPr>
      </w:pPr>
      <w:r>
        <w:rPr>
          <w:lang w:val="en-GB"/>
        </w:rPr>
      </w:r>
    </w:p>
    <w:p>
      <w:pPr>
        <w:pStyle w:val="Normal"/>
        <w:ind w:hanging="3600" w:start="3600" w:end="0"/>
        <w:jc w:val="both"/>
        <w:rPr>
          <w:b/>
          <w:u w:val="single"/>
          <w:lang w:val="en-GB"/>
        </w:rPr>
      </w:pPr>
      <w:r>
        <w:rPr>
          <w:b/>
          <w:u w:val="single"/>
          <w:lang w:val="en-GB"/>
        </w:rPr>
      </w:r>
    </w:p>
    <w:p>
      <w:pPr>
        <w:pStyle w:val="Normal"/>
        <w:ind w:hanging="3600" w:start="3600" w:end="0"/>
        <w:jc w:val="both"/>
        <w:rPr>
          <w:lang w:val="en-GB"/>
        </w:rPr>
      </w:pPr>
      <w:r>
        <w:rPr>
          <w:b/>
          <w:u w:val="single"/>
          <w:lang w:val="en-GB"/>
        </w:rPr>
        <w:t>Floating Amount Details:</w:t>
      </w:r>
    </w:p>
    <w:p>
      <w:pPr>
        <w:pStyle w:val="Normal"/>
        <w:ind w:hanging="3600" w:start="3600" w:end="0"/>
        <w:jc w:val="both"/>
        <w:rPr>
          <w:lang w:val="en-GB"/>
        </w:rPr>
      </w:pPr>
      <w:r>
        <w:rPr>
          <w:lang w:val="en-GB"/>
        </w:rPr>
      </w:r>
    </w:p>
    <w:p>
      <w:pPr>
        <w:pStyle w:val="Normal"/>
        <w:ind w:hanging="3600" w:start="3600" w:end="0"/>
        <w:jc w:val="both"/>
        <w:rPr>
          <w:lang w:val="en-GB"/>
        </w:rPr>
      </w:pPr>
      <w:r>
        <w:rPr>
          <w:lang w:val="en-GB"/>
        </w:rPr>
        <w:t>Floating Price Payer:</w:t>
        <w:tab/>
        <w:t>Morgan Stanley Capital Group Inc.</w:t>
      </w:r>
    </w:p>
    <w:p>
      <w:pPr>
        <w:pStyle w:val="Normal"/>
        <w:ind w:hanging="3600" w:start="3600" w:end="0"/>
        <w:jc w:val="both"/>
        <w:rPr>
          <w:lang w:val="en-GB"/>
        </w:rPr>
      </w:pPr>
      <w:r>
        <w:rPr>
          <w:lang w:val="en-GB"/>
        </w:rPr>
      </w:r>
    </w:p>
    <w:p>
      <w:pPr>
        <w:pStyle w:val="Normal"/>
        <w:ind w:hanging="3600" w:start="3600" w:end="0"/>
        <w:jc w:val="both"/>
        <w:rPr>
          <w:lang w:val="en-GB"/>
        </w:rPr>
      </w:pPr>
      <w:r>
        <w:rPr>
          <w:lang w:val="en-GB"/>
        </w:rPr>
        <w:t>Floating Price</w:t>
      </w:r>
    </w:p>
    <w:p>
      <w:pPr>
        <w:pStyle w:val="Normal"/>
        <w:ind w:hanging="3600" w:start="3600" w:end="0"/>
        <w:jc w:val="both"/>
        <w:rPr>
          <w:lang w:val="en-GB"/>
        </w:rPr>
      </w:pPr>
      <w:r>
        <w:rPr>
          <w:lang w:val="en-GB"/>
        </w:rPr>
        <w:t>and Pricing Date:</w:t>
        <w:tab/>
      </w:r>
      <w:r>
        <w:rPr>
          <w:color w:val="FF0000"/>
          <w:lang w:val="en-GB"/>
        </w:rPr>
        <w:t>The arithmetic average of the daily settlement prices for the prompt month of the NYMEX Light Sweet Crude Oil Futures Contract for each NYMEX Trading Day in respect of the applicable Calculation Period.</w:t>
      </w:r>
    </w:p>
    <w:p>
      <w:pPr>
        <w:pStyle w:val="Normal"/>
        <w:jc w:val="both"/>
        <w:rPr>
          <w:lang w:val="en-GB"/>
        </w:rPr>
      </w:pPr>
      <w:r>
        <w:rPr>
          <w:lang w:val="en-GB"/>
        </w:rPr>
      </w:r>
    </w:p>
    <w:p>
      <w:pPr>
        <w:pStyle w:val="Normal"/>
        <w:ind w:hanging="3600" w:start="3600" w:end="0"/>
        <w:jc w:val="both"/>
        <w:rPr/>
      </w:pPr>
      <w:r>
        <w:rPr>
          <w:lang w:val="en-GB"/>
        </w:rPr>
        <w:t>Floating Price Payer Payment Dates:</w:t>
        <w:tab/>
        <w:t xml:space="preserve">Payment Dates 5 days after the end of the Calculation Periods, </w:t>
      </w:r>
      <w:r>
        <w:rPr>
          <w:color w:val="FF0000"/>
          <w:lang w:val="en-GB"/>
        </w:rPr>
        <w:t>subject to adjustment in accordance with the Modified Following Business Day Convention</w:t>
      </w:r>
    </w:p>
    <w:p>
      <w:pPr>
        <w:pStyle w:val="Normal"/>
        <w:ind w:hanging="3600" w:start="3600" w:end="0"/>
        <w:jc w:val="both"/>
        <w:rPr>
          <w:color w:val="FF0000"/>
          <w:lang w:val="en-GB"/>
        </w:rPr>
      </w:pPr>
      <w:r>
        <w:rPr>
          <w:color w:val="FF0000"/>
          <w:lang w:val="en-GB"/>
        </w:rPr>
      </w:r>
    </w:p>
    <w:p>
      <w:pPr>
        <w:pStyle w:val="Normal"/>
        <w:ind w:hanging="3600" w:start="3600" w:end="0"/>
        <w:jc w:val="both"/>
        <w:rPr>
          <w:color w:val="FF0000"/>
          <w:lang w:val="en-GB"/>
        </w:rPr>
      </w:pPr>
      <w:r>
        <w:rPr>
          <w:color w:val="FF0000"/>
          <w:lang w:val="en-GB"/>
        </w:rPr>
        <w:t>Rounding:</w:t>
        <w:tab/>
        <w:t>Four (4) decimal places</w:t>
      </w:r>
    </w:p>
    <w:p>
      <w:pPr>
        <w:pStyle w:val="Normal"/>
        <w:ind w:hanging="3600" w:start="3600" w:end="0"/>
        <w:jc w:val="both"/>
        <w:rPr>
          <w:color w:val="FF0000"/>
          <w:lang w:val="en-GB"/>
        </w:rPr>
      </w:pPr>
      <w:r>
        <w:rPr>
          <w:color w:val="FF0000"/>
          <w:lang w:val="en-GB"/>
        </w:rPr>
      </w:r>
    </w:p>
    <w:p>
      <w:pPr>
        <w:pStyle w:val="Normal"/>
        <w:ind w:hanging="3600" w:start="3600" w:end="0"/>
        <w:jc w:val="both"/>
        <w:rPr>
          <w:lang w:val="en-GB"/>
        </w:rPr>
      </w:pPr>
      <w:r>
        <w:rPr>
          <w:lang w:val="en-GB"/>
        </w:rPr>
      </w:r>
    </w:p>
    <w:p>
      <w:pPr>
        <w:pStyle w:val="Normal"/>
        <w:ind w:hanging="3600" w:start="3600" w:end="0"/>
        <w:jc w:val="both"/>
        <w:rPr/>
      </w:pPr>
      <w:r>
        <w:rPr>
          <w:b/>
          <w:color w:val="FF0000"/>
          <w:u w:val="single"/>
          <w:lang w:val="en-GB"/>
        </w:rPr>
        <w:t>Calculation Agent:</w:t>
      </w:r>
      <w:r>
        <w:rPr>
          <w:color w:val="FF0000"/>
          <w:lang w:val="en-GB"/>
        </w:rPr>
        <w:tab/>
        <w:t>Enron North America Corp</w:t>
      </w:r>
      <w:r>
        <w:rPr>
          <w:lang w:val="en-GB"/>
        </w:rPr>
        <w:t>.</w:t>
      </w:r>
    </w:p>
    <w:p>
      <w:pPr>
        <w:pStyle w:val="Normal"/>
        <w:ind w:hanging="3600" w:start="3600" w:end="0"/>
        <w:jc w:val="both"/>
        <w:rPr>
          <w:lang w:val="en-GB"/>
        </w:rPr>
      </w:pPr>
      <w:r>
        <w:rPr>
          <w:lang w:val="en-GB"/>
        </w:rPr>
      </w:r>
    </w:p>
    <w:p>
      <w:pPr>
        <w:pStyle w:val="Normal"/>
        <w:ind w:hanging="3600" w:start="3600" w:end="0"/>
        <w:jc w:val="both"/>
        <w:rPr>
          <w:b/>
          <w:u w:val="single"/>
          <w:lang w:val="en-GB"/>
        </w:rPr>
      </w:pPr>
      <w:r>
        <w:rPr>
          <w:b/>
          <w:u w:val="single"/>
          <w:lang w:val="en-GB"/>
        </w:rPr>
      </w:r>
    </w:p>
    <w:p>
      <w:pPr>
        <w:pStyle w:val="Normal"/>
        <w:ind w:hanging="3600" w:start="3600" w:end="0"/>
        <w:jc w:val="both"/>
        <w:rPr>
          <w:color w:val="FF0000"/>
          <w:lang w:val="en-GB"/>
        </w:rPr>
      </w:pPr>
      <w:r>
        <w:rPr>
          <w:b/>
          <w:color w:val="FF0000"/>
          <w:u w:val="single"/>
          <w:lang w:val="en-GB"/>
        </w:rPr>
        <w:t>Account Details: [These need to be verified]</w:t>
      </w:r>
    </w:p>
    <w:p>
      <w:pPr>
        <w:pStyle w:val="Normal"/>
        <w:ind w:hanging="3600" w:start="3600" w:end="0"/>
        <w:jc w:val="both"/>
        <w:rPr>
          <w:color w:val="FF0000"/>
          <w:lang w:val="en-GB"/>
        </w:rPr>
      </w:pPr>
      <w:r>
        <w:rPr>
          <w:color w:val="FF0000"/>
          <w:lang w:val="en-GB"/>
        </w:rPr>
      </w:r>
    </w:p>
    <w:p>
      <w:pPr>
        <w:pStyle w:val="Normal"/>
        <w:ind w:hanging="3600" w:start="3600" w:end="0"/>
        <w:jc w:val="both"/>
        <w:rPr>
          <w:color w:val="FF0000"/>
          <w:lang w:val="en-GB"/>
        </w:rPr>
      </w:pPr>
      <w:r>
        <w:rPr>
          <w:color w:val="FF0000"/>
          <w:lang w:val="en-GB"/>
        </w:rPr>
        <w:t xml:space="preserve">Payments to Morgan Stanley Capital Group Inc:  </w:t>
        <w:tab/>
        <w:t>Northern Trust International –New York</w:t>
      </w:r>
    </w:p>
    <w:p>
      <w:pPr>
        <w:pStyle w:val="Heading3"/>
        <w:ind w:firstLine="360" w:start="4680" w:end="0"/>
        <w:rPr>
          <w:rFonts w:ascii="Times New Roman" w:hAnsi="Times New Roman" w:cs="Times New Roman"/>
          <w:b w:val="false"/>
          <w:color w:val="FF0000"/>
          <w:sz w:val="22"/>
        </w:rPr>
      </w:pPr>
      <w:r>
        <w:rPr>
          <w:rFonts w:cs="Times New Roman" w:ascii="Times New Roman" w:hAnsi="Times New Roman"/>
          <w:b w:val="false"/>
          <w:color w:val="FF0000"/>
          <w:sz w:val="22"/>
        </w:rPr>
        <w:t>A/C Morgan Stanley Capital Group Inc</w:t>
      </w:r>
    </w:p>
    <w:p>
      <w:pPr>
        <w:pStyle w:val="Normal"/>
        <w:ind w:firstLine="1440" w:start="3600" w:end="0"/>
        <w:jc w:val="both"/>
        <w:rPr>
          <w:color w:val="FF0000"/>
          <w:lang w:val="en-GB"/>
        </w:rPr>
      </w:pPr>
      <w:r>
        <w:rPr>
          <w:color w:val="FF0000"/>
          <w:lang w:val="en-GB"/>
        </w:rPr>
        <w:t>Acct No 102897- 20010 ABA No 026001122</w:t>
      </w:r>
    </w:p>
    <w:p>
      <w:pPr>
        <w:pStyle w:val="Normal"/>
        <w:ind w:hanging="3600" w:start="3600" w:end="0"/>
        <w:jc w:val="both"/>
        <w:rPr>
          <w:color w:val="FF0000"/>
          <w:lang w:val="en-GB"/>
        </w:rPr>
      </w:pPr>
      <w:r>
        <w:rPr>
          <w:color w:val="FF0000"/>
          <w:lang w:val="en-GB"/>
        </w:rPr>
        <w:tab/>
        <w:tab/>
        <w:tab/>
      </w:r>
    </w:p>
    <w:p>
      <w:pPr>
        <w:pStyle w:val="Normal"/>
        <w:ind w:hanging="3600" w:start="3600" w:end="0"/>
        <w:jc w:val="both"/>
        <w:rPr>
          <w:color w:val="FF0000"/>
          <w:lang w:val="en-GB"/>
        </w:rPr>
      </w:pPr>
      <w:r>
        <w:rPr>
          <w:color w:val="FF0000"/>
          <w:lang w:val="en-GB"/>
        </w:rPr>
      </w:r>
    </w:p>
    <w:p>
      <w:pPr>
        <w:pStyle w:val="Normal"/>
        <w:ind w:hanging="3600" w:start="3600" w:end="0"/>
        <w:jc w:val="both"/>
        <w:rPr>
          <w:color w:val="FF0000"/>
          <w:lang w:val="en-GB"/>
        </w:rPr>
      </w:pPr>
      <w:r>
        <w:rPr>
          <w:color w:val="FF0000"/>
          <w:lang w:val="en-GB"/>
        </w:rPr>
        <w:t>Payments to Enron North America Corp.</w:t>
        <w:tab/>
        <w:tab/>
        <w:t>Bank of America</w:t>
      </w:r>
    </w:p>
    <w:p>
      <w:pPr>
        <w:pStyle w:val="Heading3"/>
        <w:ind w:firstLine="360" w:start="4680" w:end="0"/>
        <w:rPr>
          <w:rFonts w:ascii="Times New Roman" w:hAnsi="Times New Roman" w:cs="Times New Roman"/>
          <w:b w:val="false"/>
          <w:color w:val="FF0000"/>
          <w:sz w:val="22"/>
        </w:rPr>
      </w:pPr>
      <w:r>
        <w:rPr>
          <w:rFonts w:cs="Times New Roman" w:ascii="Times New Roman" w:hAnsi="Times New Roman"/>
          <w:b w:val="false"/>
          <w:color w:val="FF0000"/>
          <w:sz w:val="22"/>
        </w:rPr>
        <w:t>ABA 111-000-012</w:t>
      </w:r>
    </w:p>
    <w:p>
      <w:pPr>
        <w:pStyle w:val="BodyTextIndent"/>
        <w:rPr>
          <w:color w:val="FF0000"/>
        </w:rPr>
      </w:pPr>
      <w:r>
        <w:rPr>
          <w:color w:val="FF0000"/>
        </w:rPr>
        <w:t>Account Name: Enron North America Corp –Global Products</w:t>
      </w:r>
    </w:p>
    <w:p>
      <w:pPr>
        <w:pStyle w:val="Normal"/>
        <w:ind w:firstLine="1350" w:start="3600" w:end="0"/>
        <w:jc w:val="both"/>
        <w:rPr>
          <w:color w:val="FF0000"/>
          <w:lang w:val="en-GB"/>
        </w:rPr>
      </w:pPr>
      <w:r>
        <w:rPr>
          <w:color w:val="FF0000"/>
          <w:lang w:val="en-GB"/>
        </w:rPr>
        <w:t xml:space="preserve">  </w:t>
      </w:r>
      <w:r>
        <w:rPr>
          <w:color w:val="FF0000"/>
          <w:lang w:val="en-GB"/>
        </w:rPr>
        <w:t>A/C 375-144-3337</w:t>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rFonts w:ascii="Times New Roman" w:hAnsi="Times New Roman" w:cs="Times New Roman"/>
          <w:color w:val="FF0000"/>
          <w:spacing w:val="-3"/>
          <w:lang w:val="en-GB"/>
        </w:rPr>
      </w:pPr>
      <w:r>
        <w:rPr>
          <w:rFonts w:cs="Times New Roman" w:ascii="Times New Roman" w:hAnsi="Times New Roman"/>
          <w:color w:val="FF0000"/>
          <w:spacing w:val="-3"/>
          <w:lang w:val="en-GB"/>
        </w:rPr>
      </w:r>
      <w:r>
        <w:br w:type="page"/>
      </w:r>
    </w:p>
    <w:p>
      <w:pPr>
        <w:pStyle w:val="BodyTextIndent2"/>
        <w:tabs>
          <w:tab w:val="clear" w:pos="1440"/>
          <w:tab w:val="clear" w:pos="4282"/>
          <w:tab w:val="left" w:pos="0" w:leader="none"/>
          <w:tab w:val="left" w:pos="2880" w:leader="none"/>
          <w:tab w:val="right" w:pos="3888" w:leader="none"/>
          <w:tab w:val="left" w:pos="5040" w:leader="none"/>
          <w:tab w:val="left" w:pos="5760" w:leader="none"/>
        </w:tabs>
        <w:ind w:hanging="0" w:start="0" w:end="0"/>
        <w:jc w:val="both"/>
        <w:rPr/>
      </w:pPr>
      <w:r>
        <w:rPr>
          <w:rFonts w:cs="Times New Roman" w:ascii="Times New Roman" w:hAnsi="Times New Roman"/>
          <w:spacing w:val="-3"/>
          <w:lang w:val="en-GB"/>
        </w:rPr>
        <w:t>This Confirmation may be executed in o</w:t>
        <w:tab/>
        <w:t>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r>
        <w:rPr>
          <w:rFonts w:cs="Times New Roman" w:ascii="Times New Roman" w:hAnsi="Times New Roman"/>
        </w:rPr>
        <w:t>.</w:t>
      </w:r>
    </w:p>
    <w:p>
      <w:pPr>
        <w:pStyle w:val="Normal"/>
        <w:ind w:hanging="3600" w:start="3600" w:end="0"/>
        <w:jc w:val="both"/>
        <w:rPr>
          <w:rFonts w:ascii="Times New Roman" w:hAnsi="Times New Roman" w:cs="Times New Roman"/>
          <w:lang w:val="en-GB"/>
        </w:rPr>
      </w:pPr>
      <w:r>
        <w:rPr>
          <w:rFonts w:cs="Times New Roman"/>
          <w:lang w:val="en-GB"/>
        </w:rPr>
      </w:r>
    </w:p>
    <w:p>
      <w:pPr>
        <w:pStyle w:val="BodyText"/>
        <w:rPr/>
      </w:pPr>
      <w:r>
        <w:rPr/>
        <w:t>Please confirm that the foregoing correctly sets forth the terms of our agreement by executing a copy of this Confirmation and returning it to us by facsimile to [ ].</w:t>
      </w:r>
    </w:p>
    <w:p>
      <w:pPr>
        <w:pStyle w:val="Normal"/>
        <w:ind w:hanging="3600" w:start="3600" w:end="0"/>
        <w:jc w:val="both"/>
        <w:rPr>
          <w:lang w:val="en-GB"/>
        </w:rPr>
      </w:pPr>
      <w:r>
        <w:rPr>
          <w:lang w:val="en-GB"/>
        </w:rPr>
      </w:r>
    </w:p>
    <w:p>
      <w:pPr>
        <w:pStyle w:val="Normal"/>
        <w:ind w:hanging="3600" w:start="3600" w:end="0"/>
        <w:jc w:val="both"/>
        <w:rPr>
          <w:lang w:val="en-GB"/>
        </w:rPr>
      </w:pPr>
      <w:r>
        <w:rPr>
          <w:lang w:val="en-GB"/>
        </w:rPr>
        <w:t xml:space="preserve">We look forward to receiving your prompt reply. </w:t>
      </w:r>
    </w:p>
    <w:p>
      <w:pPr>
        <w:pStyle w:val="Normal"/>
        <w:ind w:hanging="3600" w:start="3600" w:end="0"/>
        <w:jc w:val="both"/>
        <w:rPr>
          <w:lang w:val="en-GB"/>
        </w:rPr>
      </w:pPr>
      <w:r>
        <w:rPr>
          <w:lang w:val="en-GB"/>
        </w:rPr>
      </w:r>
    </w:p>
    <w:tbl>
      <w:tblPr>
        <w:tblW w:w="10872" w:type="dxa"/>
        <w:jc w:val="start"/>
        <w:tblInd w:w="-432" w:type="dxa"/>
        <w:tblLayout w:type="fixed"/>
        <w:tblCellMar>
          <w:top w:w="0" w:type="dxa"/>
          <w:start w:w="108" w:type="dxa"/>
          <w:bottom w:w="0" w:type="dxa"/>
          <w:end w:w="108" w:type="dxa"/>
        </w:tblCellMar>
      </w:tblPr>
      <w:tblGrid>
        <w:gridCol w:w="5580"/>
        <w:gridCol w:w="5292"/>
      </w:tblGrid>
      <w:tr>
        <w:trPr/>
        <w:tc>
          <w:tcPr>
            <w:tcW w:w="5580" w:type="dxa"/>
            <w:tcBorders/>
          </w:tcPr>
          <w:p>
            <w:pPr>
              <w:pStyle w:val="Normal"/>
              <w:rPr/>
            </w:pPr>
            <w:r>
              <w:rPr/>
              <w:t>Yours sincerely,</w:t>
            </w:r>
          </w:p>
          <w:p>
            <w:pPr>
              <w:pStyle w:val="Normal"/>
              <w:rPr/>
            </w:pPr>
            <w:r>
              <w:rPr/>
            </w:r>
          </w:p>
          <w:p>
            <w:pPr>
              <w:pStyle w:val="Normal"/>
              <w:rPr/>
            </w:pPr>
            <w:r>
              <w:rPr/>
            </w:r>
          </w:p>
          <w:p>
            <w:pPr>
              <w:pStyle w:val="Normal"/>
              <w:rPr/>
            </w:pPr>
            <w:r>
              <w:rPr/>
              <w:fldChar w:fldCharType="begin"/>
            </w:r>
            <w:r>
              <w:rPr/>
              <w:instrText xml:space="preserve"> MERGEFIELD EnronEntityName </w:instrText>
            </w:r>
            <w:r>
              <w:rPr/>
              <w:fldChar w:fldCharType="separate"/>
            </w:r>
            <w:r>
              <w:rPr/>
              <w:t>Enron North America Corp.</w:t>
            </w:r>
            <w:r>
              <w:rPr/>
              <w:fldChar w:fldCharType="end"/>
            </w:r>
            <w:r>
              <w:rPr/>
              <w:t>(“COUNTERPARTY”)</w:t>
            </w:r>
          </w:p>
          <w:p>
            <w:pPr>
              <w:pStyle w:val="Normal"/>
              <w:rPr/>
            </w:pPr>
            <w:r>
              <w:rPr/>
            </w:r>
          </w:p>
          <w:p>
            <w:pPr>
              <w:pStyle w:val="Normal"/>
              <w:rPr/>
            </w:pPr>
            <w:r>
              <w:rPr/>
              <w:tab/>
              <w:tab/>
              <w:tab/>
              <w:tab/>
              <w:tab/>
            </w:r>
          </w:p>
          <w:p>
            <w:pPr>
              <w:pStyle w:val="Normal"/>
              <w:rPr/>
            </w:pPr>
            <w:r>
              <w:rPr/>
              <w:t>By</w:t>
            </w:r>
          </w:p>
          <w:p>
            <w:pPr>
              <w:pStyle w:val="Normal"/>
              <w:rPr/>
            </w:pPr>
            <w:r>
              <w:rPr/>
              <w:t xml:space="preserve">Name:   </w:t>
            </w:r>
          </w:p>
          <w:p>
            <w:pPr>
              <w:pStyle w:val="Normal"/>
              <w:rPr/>
            </w:pPr>
            <w:r>
              <w:rPr/>
              <w:t xml:space="preserve">Title:     </w:t>
            </w:r>
          </w:p>
        </w:tc>
        <w:tc>
          <w:tcPr>
            <w:tcW w:w="5292" w:type="dxa"/>
            <w:tcBorders/>
          </w:tcPr>
          <w:p>
            <w:pPr>
              <w:pStyle w:val="Normal"/>
              <w:rPr/>
            </w:pPr>
            <w:r>
              <w:rPr/>
              <w:t xml:space="preserve"> </w:t>
            </w:r>
          </w:p>
          <w:p>
            <w:pPr>
              <w:pStyle w:val="Normal"/>
              <w:rPr>
                <w:color w:val="FF0000"/>
              </w:rPr>
            </w:pPr>
            <w:r>
              <w:rPr>
                <w:color w:val="FF0000"/>
              </w:rPr>
              <w:t>Confirmed as of the date first above written:</w:t>
            </w:r>
          </w:p>
          <w:p>
            <w:pPr>
              <w:pStyle w:val="Normal"/>
              <w:rPr>
                <w:color w:val="FF0000"/>
              </w:rPr>
            </w:pPr>
            <w:r>
              <w:rPr>
                <w:color w:val="FF0000"/>
              </w:rPr>
            </w:r>
          </w:p>
          <w:p>
            <w:pPr>
              <w:pStyle w:val="Normal"/>
              <w:rPr>
                <w:color w:val="FF0000"/>
              </w:rPr>
            </w:pPr>
            <w:r>
              <w:rPr>
                <w:color w:val="FF0000"/>
              </w:rPr>
              <w:fldChar w:fldCharType="begin"/>
            </w:r>
            <w:r>
              <w:rPr>
                <w:color w:val="FF0000"/>
              </w:rPr>
              <w:instrText xml:space="preserve"> MERGEFIELD CounterpartyName </w:instrText>
            </w:r>
            <w:r>
              <w:rPr>
                <w:color w:val="FF0000"/>
              </w:rPr>
              <w:fldChar w:fldCharType="separate"/>
            </w:r>
            <w:r>
              <w:rPr>
                <w:color w:val="FF0000"/>
              </w:rPr>
              <w:t>Morgan Stanley Capital Group Inc.</w:t>
            </w:r>
            <w:r>
              <w:rPr>
                <w:color w:val="FF0000"/>
              </w:rPr>
              <w:fldChar w:fldCharType="end"/>
            </w:r>
          </w:p>
          <w:p>
            <w:pPr>
              <w:pStyle w:val="Normal"/>
              <w:rPr>
                <w:color w:val="FF0000"/>
              </w:rPr>
            </w:pPr>
            <w:r>
              <w:rPr>
                <w:color w:val="FF0000"/>
              </w:rPr>
            </w:r>
          </w:p>
          <w:p>
            <w:pPr>
              <w:pStyle w:val="Normal"/>
              <w:rPr>
                <w:color w:val="FF0000"/>
              </w:rPr>
            </w:pPr>
            <w:r>
              <w:rPr>
                <w:color w:val="FF0000"/>
              </w:rPr>
            </w:r>
          </w:p>
          <w:p>
            <w:pPr>
              <w:pStyle w:val="Normal"/>
              <w:rPr/>
            </w:pPr>
            <w:r>
              <w:rPr>
                <w:color w:val="FF0000"/>
              </w:rPr>
              <w:t xml:space="preserve">By:  </w:t>
            </w:r>
            <w:r>
              <w:rPr>
                <w:color w:val="FF0000"/>
                <w:u w:val="single"/>
              </w:rPr>
              <w:tab/>
              <w:tab/>
              <w:tab/>
              <w:tab/>
              <w:tab/>
            </w:r>
            <w:r>
              <w:rPr>
                <w:color w:val="FF0000"/>
              </w:rPr>
              <w:tab/>
            </w:r>
          </w:p>
          <w:p>
            <w:pPr>
              <w:pStyle w:val="Normal"/>
              <w:rPr/>
            </w:pPr>
            <w:r>
              <w:rPr>
                <w:color w:val="FF0000"/>
              </w:rPr>
              <w:t xml:space="preserve">Name:  </w:t>
            </w:r>
            <w:r>
              <w:rPr>
                <w:color w:val="FF0000"/>
                <w:u w:val="single"/>
              </w:rPr>
              <w:tab/>
              <w:tab/>
              <w:tab/>
              <w:tab/>
              <w:tab/>
            </w:r>
          </w:p>
          <w:p>
            <w:pPr>
              <w:pStyle w:val="Normal"/>
              <w:rPr/>
            </w:pPr>
            <w:r>
              <w:rPr>
                <w:color w:val="FF0000"/>
              </w:rPr>
              <w:t xml:space="preserve">Title:  </w:t>
            </w:r>
            <w:r>
              <w:rPr>
                <w:color w:val="FF0000"/>
                <w:u w:val="single"/>
              </w:rPr>
              <w:tab/>
              <w:tab/>
              <w:tab/>
              <w:tab/>
              <w:tab/>
            </w:r>
          </w:p>
        </w:tc>
      </w:tr>
    </w:tbl>
    <w:p>
      <w:pPr>
        <w:pStyle w:val="Normal"/>
        <w:ind w:hanging="3600" w:start="3600" w:end="0"/>
        <w:jc w:val="both"/>
        <w:rPr>
          <w:lang w:val="en-GB"/>
        </w:rPr>
      </w:pPr>
      <w:r>
        <w:rPr>
          <w:lang w:val="en-GB"/>
        </w:rPr>
      </w:r>
    </w:p>
    <w:p>
      <w:pPr>
        <w:pStyle w:val="Normal"/>
        <w:ind w:hanging="3600" w:start="3600" w:end="0"/>
        <w:jc w:val="both"/>
        <w:rPr>
          <w:lang w:val="en-GB"/>
        </w:rPr>
      </w:pPr>
      <w:r>
        <w:rPr>
          <w:lang w:val="en-GB"/>
        </w:rPr>
      </w:r>
    </w:p>
    <w:p>
      <w:pPr>
        <w:pStyle w:val="Normal"/>
        <w:ind w:start="3600" w:end="0"/>
        <w:jc w:val="both"/>
        <w:rPr>
          <w:lang w:val="en-GB"/>
        </w:rPr>
      </w:pPr>
      <w:r>
        <w:rPr>
          <w:lang w:val="en-GB"/>
        </w:rPr>
      </w:r>
    </w:p>
    <w:p>
      <w:pPr>
        <w:pStyle w:val="Normal"/>
        <w:ind w:start="3600" w:end="0"/>
        <w:jc w:val="both"/>
        <w:rPr>
          <w:lang w:val="en-GB"/>
        </w:rPr>
      </w:pPr>
      <w:r>
        <w:rPr>
          <w:lang w:val="en-GB"/>
        </w:rPr>
      </w:r>
    </w:p>
    <w:p>
      <w:pPr>
        <w:pStyle w:val="Normal"/>
        <w:rPr/>
      </w:pPr>
      <w:r>
        <w:rPr/>
      </w:r>
    </w:p>
    <w:p>
      <w:pPr>
        <w:pStyle w:val="Normal"/>
        <w:rPr/>
      </w:pPr>
      <w:r>
        <w:rPr/>
      </w:r>
      <w:r>
        <w:br w:type="page"/>
      </w:r>
    </w:p>
    <w:p>
      <w:pPr>
        <w:pStyle w:val="Normal"/>
        <w:jc w:val="end"/>
        <w:rPr/>
      </w:pPr>
      <w:r>
        <w:rPr/>
      </w:r>
    </w:p>
    <w:p>
      <w:pPr>
        <w:pStyle w:val="Normal"/>
        <w:jc w:val="end"/>
        <w:rPr>
          <w:u w:val="single"/>
        </w:rPr>
      </w:pPr>
      <w:r>
        <w:rPr>
          <w:u w:val="single"/>
        </w:rPr>
      </w:r>
    </w:p>
    <w:p>
      <w:pPr>
        <w:pStyle w:val="Normal"/>
        <w:jc w:val="end"/>
        <w:rPr>
          <w:u w:val="single"/>
        </w:rPr>
      </w:pPr>
      <w:r>
        <w:rPr>
          <w:u w:val="single"/>
        </w:rPr>
      </w:r>
    </w:p>
    <w:p>
      <w:pPr>
        <w:pStyle w:val="Normal"/>
        <w:jc w:val="center"/>
        <w:rPr/>
      </w:pPr>
      <w:r>
        <w:rPr/>
        <w:t>Exhibit I</w:t>
      </w:r>
    </w:p>
    <w:p>
      <w:pPr>
        <w:pStyle w:val="Normal"/>
        <w:jc w:val="center"/>
        <w:rPr>
          <w:u w:val="single"/>
        </w:rPr>
      </w:pPr>
      <w:r>
        <w:rPr/>
        <w:t>Contract No. QH4715.1</w:t>
      </w:r>
    </w:p>
    <w:p>
      <w:pPr>
        <w:pStyle w:val="Normal"/>
        <w:jc w:val="both"/>
        <w:rPr>
          <w:u w:val="single"/>
        </w:rPr>
      </w:pPr>
      <w:r>
        <w:rPr>
          <w:u w:val="single"/>
        </w:rPr>
      </w:r>
    </w:p>
    <w:p>
      <w:pPr>
        <w:pStyle w:val="Normal"/>
        <w:jc w:val="both"/>
        <w:rPr>
          <w:u w:val="single"/>
        </w:rPr>
      </w:pPr>
      <w:r>
        <w:rPr>
          <w:u w:val="single"/>
        </w:rPr>
      </w:r>
    </w:p>
    <w:tbl>
      <w:tblPr>
        <w:tblW w:w="9288" w:type="dxa"/>
        <w:jc w:val="start"/>
        <w:tblInd w:w="0" w:type="dxa"/>
        <w:tblLayout w:type="fixed"/>
        <w:tblCellMar>
          <w:top w:w="0" w:type="dxa"/>
          <w:start w:w="108" w:type="dxa"/>
          <w:bottom w:w="0" w:type="dxa"/>
          <w:end w:w="108" w:type="dxa"/>
        </w:tblCellMar>
      </w:tblPr>
      <w:tblGrid>
        <w:gridCol w:w="3888"/>
        <w:gridCol w:w="264"/>
        <w:gridCol w:w="2166"/>
        <w:gridCol w:w="270"/>
        <w:gridCol w:w="2700"/>
      </w:tblGrid>
      <w:tr>
        <w:trPr/>
        <w:tc>
          <w:tcPr>
            <w:tcW w:w="3888" w:type="dxa"/>
            <w:tcBorders/>
          </w:tcPr>
          <w:p>
            <w:pPr>
              <w:pStyle w:val="Normal"/>
              <w:snapToGrid w:val="false"/>
              <w:jc w:val="both"/>
              <w:rPr/>
            </w:pPr>
            <w:r>
              <w:rPr/>
            </w:r>
          </w:p>
          <w:p>
            <w:pPr>
              <w:pStyle w:val="Normal"/>
              <w:jc w:val="center"/>
              <w:rPr/>
            </w:pPr>
            <w:r>
              <w:rPr/>
              <w:t>Calculation</w:t>
            </w:r>
          </w:p>
          <w:p>
            <w:pPr>
              <w:pStyle w:val="Normal"/>
              <w:jc w:val="center"/>
              <w:rPr>
                <w:u w:val="single"/>
              </w:rPr>
            </w:pPr>
            <w:r>
              <w:rPr>
                <w:u w:val="single"/>
              </w:rPr>
              <w:t>Period</w:t>
            </w:r>
          </w:p>
          <w:p>
            <w:pPr>
              <w:pStyle w:val="Normal"/>
              <w:jc w:val="both"/>
              <w:rPr>
                <w:u w:val="single"/>
              </w:rPr>
            </w:pPr>
            <w:r>
              <w:rPr>
                <w:u w:val="single"/>
              </w:rPr>
            </w:r>
          </w:p>
        </w:tc>
        <w:tc>
          <w:tcPr>
            <w:tcW w:w="264" w:type="dxa"/>
            <w:tcBorders/>
          </w:tcPr>
          <w:p>
            <w:pPr>
              <w:pStyle w:val="Normal"/>
              <w:snapToGrid w:val="false"/>
              <w:jc w:val="both"/>
              <w:rPr/>
            </w:pPr>
            <w:r>
              <w:rPr/>
            </w:r>
          </w:p>
        </w:tc>
        <w:tc>
          <w:tcPr>
            <w:tcW w:w="2166" w:type="dxa"/>
            <w:tcBorders/>
          </w:tcPr>
          <w:p>
            <w:pPr>
              <w:pStyle w:val="Normal"/>
              <w:jc w:val="center"/>
              <w:rPr/>
            </w:pPr>
            <w:r>
              <w:rPr/>
              <w:t>Notional Quantity</w:t>
            </w:r>
          </w:p>
          <w:p>
            <w:pPr>
              <w:pStyle w:val="Normal"/>
              <w:jc w:val="center"/>
              <w:rPr/>
            </w:pPr>
            <w:r>
              <w:rPr/>
              <w:t>Per Calculation</w:t>
            </w:r>
          </w:p>
          <w:p>
            <w:pPr>
              <w:pStyle w:val="Normal"/>
              <w:jc w:val="center"/>
              <w:rPr>
                <w:u w:val="single"/>
              </w:rPr>
            </w:pPr>
            <w:r>
              <w:rPr>
                <w:u w:val="single"/>
              </w:rPr>
              <w:t>Period (Barrels)</w:t>
            </w:r>
          </w:p>
          <w:p>
            <w:pPr>
              <w:pStyle w:val="Heading2"/>
              <w:tabs>
                <w:tab w:val="clear" w:pos="720"/>
                <w:tab w:val="left" w:pos="1770" w:leader="none"/>
              </w:tabs>
              <w:ind w:hanging="0" w:start="0"/>
              <w:rPr>
                <w:rFonts w:ascii="Times New Roman" w:hAnsi="Times New Roman" w:cs="Times New Roman"/>
                <w:sz w:val="22"/>
                <w:u w:val="single"/>
              </w:rPr>
            </w:pPr>
            <w:r>
              <w:rPr>
                <w:rFonts w:cs="Times New Roman" w:ascii="Times New Roman" w:hAnsi="Times New Roman"/>
                <w:sz w:val="22"/>
                <w:u w:val="single"/>
              </w:rPr>
            </w:r>
          </w:p>
        </w:tc>
        <w:tc>
          <w:tcPr>
            <w:tcW w:w="270" w:type="dxa"/>
            <w:tcBorders/>
          </w:tcPr>
          <w:p>
            <w:pPr>
              <w:pStyle w:val="Normal"/>
              <w:snapToGrid w:val="false"/>
              <w:jc w:val="both"/>
              <w:rPr>
                <w:rFonts w:ascii="Times New Roman" w:hAnsi="Times New Roman" w:cs="Times New Roman"/>
                <w:sz w:val="22"/>
              </w:rPr>
            </w:pPr>
            <w:r>
              <w:rPr>
                <w:rFonts w:cs="Times New Roman"/>
                <w:sz w:val="22"/>
              </w:rPr>
            </w:r>
          </w:p>
        </w:tc>
        <w:tc>
          <w:tcPr>
            <w:tcW w:w="2700" w:type="dxa"/>
            <w:tcBorders/>
          </w:tcPr>
          <w:p>
            <w:pPr>
              <w:pStyle w:val="Normal"/>
              <w:snapToGrid w:val="false"/>
              <w:jc w:val="both"/>
              <w:rPr/>
            </w:pPr>
            <w:r>
              <w:rPr/>
            </w:r>
          </w:p>
          <w:p>
            <w:pPr>
              <w:pStyle w:val="Normal"/>
              <w:jc w:val="center"/>
              <w:rPr/>
            </w:pPr>
            <w:r>
              <w:rPr/>
              <w:t>Payment</w:t>
            </w:r>
          </w:p>
          <w:p>
            <w:pPr>
              <w:pStyle w:val="Normal"/>
              <w:tabs>
                <w:tab w:val="clear" w:pos="720"/>
                <w:tab w:val="left" w:pos="926" w:leader="none"/>
              </w:tabs>
              <w:jc w:val="center"/>
              <w:rPr>
                <w:u w:val="single"/>
              </w:rPr>
            </w:pPr>
            <w:r>
              <w:rPr>
                <w:u w:val="single"/>
              </w:rPr>
              <w:t>Date</w:t>
            </w:r>
          </w:p>
        </w:tc>
      </w:tr>
      <w:tr>
        <w:trPr/>
        <w:tc>
          <w:tcPr>
            <w:tcW w:w="3888" w:type="dxa"/>
            <w:tcBorders/>
          </w:tcPr>
          <w:p>
            <w:pPr>
              <w:pStyle w:val="Normal"/>
              <w:jc w:val="both"/>
              <w:rPr/>
            </w:pPr>
            <w:r>
              <w:rPr/>
              <w:t>December 19, 2000 – March 12, 2001</w:t>
            </w:r>
          </w:p>
        </w:tc>
        <w:tc>
          <w:tcPr>
            <w:tcW w:w="264" w:type="dxa"/>
            <w:tcBorders/>
          </w:tcPr>
          <w:p>
            <w:pPr>
              <w:pStyle w:val="Normal"/>
              <w:snapToGrid w:val="false"/>
              <w:jc w:val="both"/>
              <w:rPr/>
            </w:pPr>
            <w:r>
              <w:rPr/>
            </w:r>
          </w:p>
        </w:tc>
        <w:tc>
          <w:tcPr>
            <w:tcW w:w="2166" w:type="dxa"/>
            <w:tcBorders/>
          </w:tcPr>
          <w:p>
            <w:pPr>
              <w:pStyle w:val="Normal"/>
              <w:jc w:val="center"/>
              <w:rPr/>
            </w:pPr>
            <w:r>
              <w:rPr/>
              <w:t>97,955</w:t>
            </w:r>
          </w:p>
        </w:tc>
        <w:tc>
          <w:tcPr>
            <w:tcW w:w="270" w:type="dxa"/>
            <w:tcBorders/>
          </w:tcPr>
          <w:p>
            <w:pPr>
              <w:pStyle w:val="Normal"/>
              <w:snapToGrid w:val="false"/>
              <w:jc w:val="both"/>
              <w:rPr/>
            </w:pPr>
            <w:r>
              <w:rPr/>
            </w:r>
          </w:p>
        </w:tc>
        <w:tc>
          <w:tcPr>
            <w:tcW w:w="2700" w:type="dxa"/>
            <w:tcBorders/>
          </w:tcPr>
          <w:p>
            <w:pPr>
              <w:pStyle w:val="Normal"/>
              <w:jc w:val="center"/>
              <w:rPr/>
            </w:pPr>
            <w:r>
              <w:rPr/>
              <w:t>March 19, 2001</w:t>
            </w:r>
          </w:p>
        </w:tc>
      </w:tr>
      <w:tr>
        <w:trPr/>
        <w:tc>
          <w:tcPr>
            <w:tcW w:w="3888" w:type="dxa"/>
            <w:tcBorders/>
          </w:tcPr>
          <w:p>
            <w:pPr>
              <w:pStyle w:val="Normal"/>
              <w:snapToGrid w:val="false"/>
              <w:jc w:val="both"/>
              <w:rPr/>
            </w:pPr>
            <w:r>
              <w:rPr/>
            </w:r>
          </w:p>
        </w:tc>
        <w:tc>
          <w:tcPr>
            <w:tcW w:w="264" w:type="dxa"/>
            <w:tcBorders/>
          </w:tcPr>
          <w:p>
            <w:pPr>
              <w:pStyle w:val="Normal"/>
              <w:snapToGrid w:val="false"/>
              <w:jc w:val="both"/>
              <w:rPr/>
            </w:pPr>
            <w:r>
              <w:rPr/>
            </w:r>
          </w:p>
        </w:tc>
        <w:tc>
          <w:tcPr>
            <w:tcW w:w="2166" w:type="dxa"/>
            <w:tcBorders/>
          </w:tcPr>
          <w:p>
            <w:pPr>
              <w:pStyle w:val="Normal"/>
              <w:snapToGrid w:val="false"/>
              <w:jc w:val="center"/>
              <w:rPr/>
            </w:pPr>
            <w:r>
              <w:rPr/>
            </w:r>
          </w:p>
        </w:tc>
        <w:tc>
          <w:tcPr>
            <w:tcW w:w="270" w:type="dxa"/>
            <w:tcBorders/>
          </w:tcPr>
          <w:p>
            <w:pPr>
              <w:pStyle w:val="Normal"/>
              <w:snapToGrid w:val="false"/>
              <w:jc w:val="both"/>
              <w:rPr/>
            </w:pPr>
            <w:r>
              <w:rPr/>
            </w:r>
          </w:p>
        </w:tc>
        <w:tc>
          <w:tcPr>
            <w:tcW w:w="2700" w:type="dxa"/>
            <w:tcBorders/>
          </w:tcPr>
          <w:p>
            <w:pPr>
              <w:pStyle w:val="Normal"/>
              <w:snapToGrid w:val="false"/>
              <w:jc w:val="center"/>
              <w:rPr/>
            </w:pPr>
            <w:r>
              <w:rPr/>
            </w:r>
          </w:p>
        </w:tc>
      </w:tr>
      <w:tr>
        <w:trPr/>
        <w:tc>
          <w:tcPr>
            <w:tcW w:w="3888" w:type="dxa"/>
            <w:tcBorders/>
          </w:tcPr>
          <w:p>
            <w:pPr>
              <w:pStyle w:val="Normal"/>
              <w:jc w:val="both"/>
              <w:rPr/>
            </w:pPr>
            <w:r>
              <w:rPr/>
              <w:t>March 19, 2001 – June 12, 2001</w:t>
            </w:r>
          </w:p>
        </w:tc>
        <w:tc>
          <w:tcPr>
            <w:tcW w:w="264" w:type="dxa"/>
            <w:tcBorders/>
          </w:tcPr>
          <w:p>
            <w:pPr>
              <w:pStyle w:val="Normal"/>
              <w:snapToGrid w:val="false"/>
              <w:jc w:val="both"/>
              <w:rPr/>
            </w:pPr>
            <w:r>
              <w:rPr/>
            </w:r>
          </w:p>
        </w:tc>
        <w:tc>
          <w:tcPr>
            <w:tcW w:w="2166" w:type="dxa"/>
            <w:tcBorders/>
          </w:tcPr>
          <w:p>
            <w:pPr>
              <w:pStyle w:val="Normal"/>
              <w:jc w:val="center"/>
              <w:rPr/>
            </w:pPr>
            <w:r>
              <w:rPr/>
              <w:t>97,955</w:t>
            </w:r>
          </w:p>
        </w:tc>
        <w:tc>
          <w:tcPr>
            <w:tcW w:w="270" w:type="dxa"/>
            <w:tcBorders/>
          </w:tcPr>
          <w:p>
            <w:pPr>
              <w:pStyle w:val="Normal"/>
              <w:snapToGrid w:val="false"/>
              <w:jc w:val="both"/>
              <w:rPr/>
            </w:pPr>
            <w:r>
              <w:rPr/>
            </w:r>
          </w:p>
        </w:tc>
        <w:tc>
          <w:tcPr>
            <w:tcW w:w="2700" w:type="dxa"/>
            <w:tcBorders/>
          </w:tcPr>
          <w:p>
            <w:pPr>
              <w:pStyle w:val="Normal"/>
              <w:jc w:val="center"/>
              <w:rPr/>
            </w:pPr>
            <w:r>
              <w:rPr/>
              <w:t>June 19, 2001</w:t>
            </w:r>
          </w:p>
        </w:tc>
      </w:tr>
      <w:tr>
        <w:trPr/>
        <w:tc>
          <w:tcPr>
            <w:tcW w:w="3888" w:type="dxa"/>
            <w:tcBorders/>
          </w:tcPr>
          <w:p>
            <w:pPr>
              <w:pStyle w:val="Normal"/>
              <w:snapToGrid w:val="false"/>
              <w:jc w:val="both"/>
              <w:rPr/>
            </w:pPr>
            <w:r>
              <w:rPr/>
            </w:r>
          </w:p>
        </w:tc>
        <w:tc>
          <w:tcPr>
            <w:tcW w:w="264" w:type="dxa"/>
            <w:tcBorders/>
          </w:tcPr>
          <w:p>
            <w:pPr>
              <w:pStyle w:val="Normal"/>
              <w:snapToGrid w:val="false"/>
              <w:jc w:val="both"/>
              <w:rPr/>
            </w:pPr>
            <w:r>
              <w:rPr/>
            </w:r>
          </w:p>
        </w:tc>
        <w:tc>
          <w:tcPr>
            <w:tcW w:w="2166" w:type="dxa"/>
            <w:tcBorders/>
          </w:tcPr>
          <w:p>
            <w:pPr>
              <w:pStyle w:val="Normal"/>
              <w:snapToGrid w:val="false"/>
              <w:jc w:val="center"/>
              <w:rPr/>
            </w:pPr>
            <w:r>
              <w:rPr/>
            </w:r>
          </w:p>
        </w:tc>
        <w:tc>
          <w:tcPr>
            <w:tcW w:w="270" w:type="dxa"/>
            <w:tcBorders/>
          </w:tcPr>
          <w:p>
            <w:pPr>
              <w:pStyle w:val="Normal"/>
              <w:snapToGrid w:val="false"/>
              <w:jc w:val="both"/>
              <w:rPr/>
            </w:pPr>
            <w:r>
              <w:rPr/>
            </w:r>
          </w:p>
        </w:tc>
        <w:tc>
          <w:tcPr>
            <w:tcW w:w="2700" w:type="dxa"/>
            <w:tcBorders/>
          </w:tcPr>
          <w:p>
            <w:pPr>
              <w:pStyle w:val="Normal"/>
              <w:snapToGrid w:val="false"/>
              <w:jc w:val="center"/>
              <w:rPr/>
            </w:pPr>
            <w:r>
              <w:rPr/>
            </w:r>
          </w:p>
        </w:tc>
      </w:tr>
      <w:tr>
        <w:trPr/>
        <w:tc>
          <w:tcPr>
            <w:tcW w:w="3888" w:type="dxa"/>
            <w:tcBorders/>
          </w:tcPr>
          <w:p>
            <w:pPr>
              <w:pStyle w:val="Normal"/>
              <w:jc w:val="both"/>
              <w:rPr/>
            </w:pPr>
            <w:r>
              <w:rPr/>
              <w:t>June 19, 2001 – September 12, 2001</w:t>
            </w:r>
          </w:p>
        </w:tc>
        <w:tc>
          <w:tcPr>
            <w:tcW w:w="264" w:type="dxa"/>
            <w:tcBorders/>
          </w:tcPr>
          <w:p>
            <w:pPr>
              <w:pStyle w:val="Normal"/>
              <w:snapToGrid w:val="false"/>
              <w:jc w:val="both"/>
              <w:rPr/>
            </w:pPr>
            <w:r>
              <w:rPr/>
            </w:r>
          </w:p>
        </w:tc>
        <w:tc>
          <w:tcPr>
            <w:tcW w:w="2166" w:type="dxa"/>
            <w:tcBorders/>
          </w:tcPr>
          <w:p>
            <w:pPr>
              <w:pStyle w:val="Normal"/>
              <w:jc w:val="center"/>
              <w:rPr/>
            </w:pPr>
            <w:r>
              <w:rPr/>
              <w:t>5,701,243</w:t>
            </w:r>
          </w:p>
        </w:tc>
        <w:tc>
          <w:tcPr>
            <w:tcW w:w="270" w:type="dxa"/>
            <w:tcBorders/>
          </w:tcPr>
          <w:p>
            <w:pPr>
              <w:pStyle w:val="Normal"/>
              <w:snapToGrid w:val="false"/>
              <w:jc w:val="both"/>
              <w:rPr/>
            </w:pPr>
            <w:r>
              <w:rPr/>
            </w:r>
          </w:p>
        </w:tc>
        <w:tc>
          <w:tcPr>
            <w:tcW w:w="2700" w:type="dxa"/>
            <w:tcBorders/>
          </w:tcPr>
          <w:p>
            <w:pPr>
              <w:pStyle w:val="Normal"/>
              <w:jc w:val="center"/>
              <w:rPr/>
            </w:pPr>
            <w:r>
              <w:rPr/>
              <w:t>September 19, 2001</w:t>
            </w:r>
          </w:p>
        </w:tc>
      </w:tr>
    </w:tbl>
    <w:p>
      <w:pPr>
        <w:pStyle w:val="Header"/>
        <w:jc w:val="center"/>
        <w:rPr>
          <w:b/>
        </w:rPr>
      </w:pPr>
      <w:r>
        <w:rPr>
          <w:b/>
        </w:rPr>
      </w:r>
    </w:p>
    <w:p>
      <w:pPr>
        <w:pStyle w:val="Normal"/>
        <w:rPr>
          <w:b/>
        </w:rPr>
      </w:pPr>
      <w:r>
        <w:rPr>
          <w:b/>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Univers (W1)">
    <w:charset w:val="00" w:characterSet="windows-1252"/>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242" w:end="0"/>
      <w:outlineLvl w:val="0"/>
    </w:pPr>
    <w:rPr>
      <w:i/>
    </w:rPr>
  </w:style>
  <w:style w:type="paragraph" w:styleId="Heading2">
    <w:name w:val="heading 2"/>
    <w:basedOn w:val="Normal"/>
    <w:next w:val="Normal"/>
    <w:qFormat/>
    <w:pPr>
      <w:numPr>
        <w:ilvl w:val="1"/>
        <w:numId w:val="1"/>
      </w:numPr>
      <w:spacing w:before="120" w:after="0"/>
      <w:outlineLvl w:val="1"/>
    </w:pPr>
    <w:rPr>
      <w:rFonts w:ascii="Helv" w:hAnsi="Helv" w:cs="Helv"/>
      <w:b/>
      <w:szCs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Cs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lang w:val="en-G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CG Times;Times New Roman" w:hAnsi="CG Times;Times New Roman" w:cs="CG Times;Times New Roman"/>
      <w:sz w:val="22"/>
      <w:szCs w:val="20"/>
    </w:rPr>
  </w:style>
  <w:style w:type="paragraph" w:styleId="Header">
    <w:name w:val="header"/>
    <w:basedOn w:val="Normal"/>
    <w:pPr>
      <w:tabs>
        <w:tab w:val="clear" w:pos="720"/>
        <w:tab w:val="center" w:pos="4320" w:leader="none"/>
        <w:tab w:val="right" w:pos="8640" w:leader="none"/>
      </w:tabs>
    </w:pPr>
    <w:rPr>
      <w:rFonts w:ascii="CG Times;Times New Roman" w:hAnsi="CG Times;Times New Roman" w:cs="CG Times;Times New Roman"/>
      <w:sz w:val="22"/>
      <w:szCs w:val="20"/>
    </w:rPr>
  </w:style>
  <w:style w:type="paragraph" w:styleId="Style11">
    <w:name w:val="Style1"/>
    <w:basedOn w:val="Normal"/>
    <w:qFormat/>
    <w:pPr/>
    <w:rPr>
      <w:rFonts w:ascii="Univers (W1)" w:hAnsi="Univers (W1)" w:cs="Univers (W1)"/>
      <w:sz w:val="22"/>
      <w:szCs w:val="20"/>
    </w:rPr>
  </w:style>
  <w:style w:type="paragraph" w:styleId="BodyTextIndent2">
    <w:name w:val="Body Text Indent 2"/>
    <w:basedOn w:val="Normal"/>
    <w:qFormat/>
    <w:pPr>
      <w:widowControl w:val="false"/>
      <w:tabs>
        <w:tab w:val="clear" w:pos="720"/>
        <w:tab w:val="left" w:pos="1440" w:leader="none"/>
        <w:tab w:val="right" w:pos="3888" w:leader="none"/>
        <w:tab w:val="left" w:pos="4282" w:leader="none"/>
        <w:tab w:val="left" w:pos="5040" w:leader="none"/>
        <w:tab w:val="left" w:pos="5760" w:leader="none"/>
      </w:tabs>
      <w:ind w:hanging="4275" w:start="4275" w:end="0"/>
    </w:pPr>
    <w:rPr>
      <w:rFonts w:ascii="Univers" w:hAnsi="Univers" w:cs="Univers"/>
      <w:sz w:val="22"/>
      <w:szCs w:val="20"/>
    </w:rPr>
  </w:style>
  <w:style w:type="paragraph" w:styleId="BodyTextIndent">
    <w:name w:val="Body Text Indent"/>
    <w:basedOn w:val="Normal"/>
    <w:pPr>
      <w:ind w:hanging="0" w:start="5040" w:end="0"/>
      <w:jc w:val="both"/>
    </w:pPr>
    <w:rPr>
      <w:sz w:val="22"/>
      <w:szCs w:val="20"/>
      <w:lang w:val="en-GB"/>
    </w:rPr>
  </w:style>
  <w:style w:type="paragraph" w:styleId="NormalIndent">
    <w:name w:val="Normal Indent"/>
    <w:basedOn w:val="Normal"/>
    <w:qFormat/>
    <w:pPr>
      <w:ind w:hanging="0" w:start="720" w:end="0"/>
    </w:pPr>
    <w:rPr/>
  </w:style>
  <w:style w:type="paragraph" w:styleId="BodyTextIndent3">
    <w:name w:val="Body Text Indent 3"/>
    <w:basedOn w:val="Normal"/>
    <w:qFormat/>
    <w:pPr>
      <w:ind w:hanging="3600" w:start="3600" w:end="0"/>
      <w:jc w:val="both"/>
    </w:pPr>
    <w:rPr>
      <w:color w:val="FF0000"/>
      <w:lang w:val="en-GB"/>
    </w:rPr>
  </w:style>
  <w:style w:type="paragraph" w:styleId="BodyText2">
    <w:name w:val="Body Text 2"/>
    <w:basedOn w:val="Normal"/>
    <w:qFormat/>
    <w:pPr>
      <w:tabs>
        <w:tab w:val="clear" w:pos="720"/>
        <w:tab w:val="left" w:pos="2610" w:leader="none"/>
      </w:tabs>
      <w:jc w:val="both"/>
    </w:pPr>
    <w:rPr>
      <w:color w:val="0000F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2001-09-24T13:34:00Z</dcterms:created>
  <dc:creator>rjamadag</dc:creator>
  <dc:description/>
  <dc:language>en-CA</dc:language>
  <cp:lastModifiedBy>bethng</cp:lastModifiedBy>
  <cp:lastPrinted>2001-09-24T12:04:00Z</cp:lastPrinted>
  <dcterms:modified xsi:type="dcterms:W3CDTF">2001-09-24T13:34:00Z</dcterms:modified>
  <cp:revision>2</cp:revision>
  <dc:subject/>
  <dc:title> </dc:title>
</cp:coreProperties>
</file>