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468" w:type="dxa"/>
        <w:jc w:val="start"/>
        <w:tblInd w:w="0" w:type="dxa"/>
        <w:tblLayout w:type="fixed"/>
        <w:tblCellMar>
          <w:top w:w="0" w:type="dxa"/>
          <w:start w:w="108" w:type="dxa"/>
          <w:bottom w:w="0" w:type="dxa"/>
          <w:end w:w="108" w:type="dxa"/>
        </w:tblCellMar>
      </w:tblPr>
      <w:tblGrid>
        <w:gridCol w:w="7308"/>
        <w:gridCol w:w="2160"/>
      </w:tblGrid>
      <w:tr>
        <w:trPr/>
        <w:tc>
          <w:tcPr>
            <w:tcW w:w="7308" w:type="dxa"/>
            <w:tcBorders/>
          </w:tcPr>
          <w:p>
            <w:pPr>
              <w:pStyle w:val="Normal"/>
              <w:spacing w:before="180" w:after="0"/>
              <w:rPr>
                <w:rFonts w:ascii="Arial" w:hAnsi="Arial" w:cs="Arial"/>
                <w:b/>
                <w:color w:val="000000"/>
                <w:sz w:val="18"/>
              </w:rPr>
            </w:pPr>
            <w:r>
              <w:drawing>
                <wp:anchor behindDoc="0" distT="0" distB="0" distL="114935" distR="114935" simplePos="0" locked="0" layoutInCell="0" allowOverlap="1" relativeHeight="3">
                  <wp:simplePos x="0" y="0"/>
                  <wp:positionH relativeFrom="page">
                    <wp:posOffset>2877820</wp:posOffset>
                  </wp:positionH>
                  <wp:positionV relativeFrom="margin">
                    <wp:posOffset>-557530</wp:posOffset>
                  </wp:positionV>
                  <wp:extent cx="1984375" cy="35242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8" t="-102" r="-18" b="-102"/>
                          <a:stretch>
                            <a:fillRect/>
                          </a:stretch>
                        </pic:blipFill>
                        <pic:spPr bwMode="auto">
                          <a:xfrm>
                            <a:off x="0" y="0"/>
                            <a:ext cx="1984375" cy="352425"/>
                          </a:xfrm>
                          <a:prstGeom prst="rect">
                            <a:avLst/>
                          </a:prstGeom>
                          <a:noFill/>
                        </pic:spPr>
                      </pic:pic>
                    </a:graphicData>
                  </a:graphic>
                </wp:anchor>
              </w:drawing>
            </w:r>
            <w:r>
              <w:rPr>
                <w:rFonts w:cs="Arial" w:ascii="Arial" w:hAnsi="Arial"/>
                <w:b/>
                <w:color w:val="000000"/>
                <w:sz w:val="18"/>
              </w:rPr>
              <w:t>J.P. Morgan Chase &amp; Co.</w:t>
            </w:r>
          </w:p>
          <w:p>
            <w:pPr>
              <w:pStyle w:val="Normal"/>
              <w:rPr>
                <w:rFonts w:ascii="Arial" w:hAnsi="Arial" w:cs="Arial"/>
                <w:color w:val="000000"/>
                <w:sz w:val="18"/>
              </w:rPr>
            </w:pPr>
            <w:r>
              <w:rPr>
                <w:rFonts w:cs="Arial" w:ascii="Arial" w:hAnsi="Arial"/>
                <w:color w:val="000000"/>
                <w:sz w:val="18"/>
              </w:rPr>
              <w:t>Legal Department</w:t>
            </w:r>
          </w:p>
          <w:p>
            <w:pPr>
              <w:pStyle w:val="Normal"/>
              <w:rPr>
                <w:rFonts w:ascii="Arial" w:hAnsi="Arial" w:cs="Arial"/>
                <w:color w:val="000000"/>
                <w:sz w:val="18"/>
              </w:rPr>
            </w:pPr>
            <w:r>
              <w:rPr>
                <w:rFonts w:cs="Arial" w:ascii="Arial" w:hAnsi="Arial"/>
                <w:color w:val="000000"/>
                <w:sz w:val="18"/>
              </w:rPr>
              <w:t>270 Park Avenue</w:t>
            </w:r>
          </w:p>
          <w:p>
            <w:pPr>
              <w:pStyle w:val="Normal"/>
              <w:rPr>
                <w:rFonts w:ascii="Arial" w:hAnsi="Arial" w:cs="Arial"/>
                <w:color w:val="000000"/>
                <w:sz w:val="18"/>
              </w:rPr>
            </w:pPr>
            <w:r>
              <w:rPr>
                <w:rFonts w:cs="Arial" w:ascii="Arial" w:hAnsi="Arial"/>
                <w:color w:val="000000"/>
                <w:sz w:val="18"/>
              </w:rPr>
              <w:t>New York, NY 10017</w:t>
            </w:r>
          </w:p>
        </w:tc>
        <w:tc>
          <w:tcPr>
            <w:tcW w:w="2160" w:type="dxa"/>
            <w:tcBorders/>
          </w:tcPr>
          <w:p>
            <w:pPr>
              <w:pStyle w:val="Normal"/>
              <w:spacing w:before="180" w:after="0"/>
              <w:rPr/>
            </w:pPr>
            <w:bookmarkStart w:id="0" w:name="Title"/>
            <w:r>
              <w:rPr>
                <w:rFonts w:cs="Arial" w:ascii="Arial" w:hAnsi="Arial"/>
                <w:b/>
                <w:color w:val="000000"/>
                <w:sz w:val="18"/>
              </w:rPr>
              <w:t>Melissa A. McMahon</w:t>
            </w:r>
            <w:r>
              <w:rPr>
                <w:rFonts w:cs="Arial" w:ascii="Arial" w:hAnsi="Arial"/>
                <w:color w:val="000000"/>
                <w:sz w:val="18"/>
              </w:rPr>
              <w:t xml:space="preserve"> </w:t>
            </w:r>
            <w:bookmarkEnd w:id="0"/>
            <w:r>
              <w:rPr>
                <w:rFonts w:cs="Arial" w:ascii="Arial" w:hAnsi="Arial"/>
                <w:color w:val="000000"/>
                <w:sz w:val="18"/>
              </w:rPr>
              <w:t>Vice President and Assistant General Counsel</w:t>
            </w:r>
          </w:p>
          <w:p>
            <w:pPr>
              <w:pStyle w:val="Normal"/>
              <w:rPr>
                <w:rFonts w:ascii="Arial" w:hAnsi="Arial" w:cs="Arial"/>
                <w:color w:val="000000"/>
                <w:sz w:val="18"/>
              </w:rPr>
            </w:pPr>
            <w:r>
              <w:rPr>
                <w:rFonts w:cs="Arial" w:ascii="Arial" w:hAnsi="Arial"/>
                <w:color w:val="000000"/>
                <w:sz w:val="18"/>
              </w:rPr>
              <w:t>Tel:  (212) 270-5872</w:t>
            </w:r>
          </w:p>
          <w:p>
            <w:pPr>
              <w:pStyle w:val="Normal"/>
              <w:rPr>
                <w:rFonts w:ascii="Arial" w:hAnsi="Arial" w:cs="Arial"/>
                <w:color w:val="000000"/>
                <w:sz w:val="18"/>
              </w:rPr>
            </w:pPr>
            <w:r>
              <w:rPr>
                <w:rFonts w:cs="Arial" w:ascii="Arial" w:hAnsi="Arial"/>
                <w:color w:val="000000"/>
                <w:sz w:val="18"/>
              </w:rPr>
              <w:t>Fax: (212) 270-7487</w:t>
            </w:r>
          </w:p>
        </w:tc>
      </w:tr>
    </w:tbl>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5760" w:leader="none"/>
        </w:tabs>
        <w:spacing w:lineRule="atLeast" w:line="260"/>
        <w:jc w:val="both"/>
        <w:rPr>
          <w:rFonts w:ascii="Times New Roman" w:hAnsi="Times New Roman" w:cs="Times New Roman"/>
          <w:sz w:val="24"/>
        </w:rPr>
      </w:pPr>
      <w:r>
        <w:rPr>
          <w:rFonts w:cs="Times New Roman" w:ascii="Times New Roman" w:hAnsi="Times New Roman"/>
          <w:sz w:val="24"/>
        </w:rPr>
        <w:tab/>
        <w:t>October 24, 2001</w:t>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t>Enron North America Corp.</w:t>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t>1400 Smith Street</w:t>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t>Houston, Texas 77002</w:t>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t>Attention: Vice President and Treasurer</w:t>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r>
    </w:p>
    <w:p>
      <w:pPr>
        <w:pStyle w:val="BlockText"/>
        <w:rPr>
          <w:u w:val="single"/>
        </w:rPr>
      </w:pPr>
      <w:r>
        <w:rPr/>
        <w:t>Re:</w:t>
        <w:tab/>
        <w:t>Interest Rate and Currency Exchange Agreement dated as of April 5, 1994 between Enron North America Corp. and The Chase Manhattan Bank (the “</w:t>
      </w:r>
      <w:r>
        <w:rPr>
          <w:u w:val="single"/>
        </w:rPr>
        <w:t>Chase Agreement</w:t>
      </w:r>
      <w:r>
        <w:rPr/>
        <w:t>”) and Master Energy Price Swap Agreement dated as of May 28, 1992 between Enron North America Corp. and Morgan Guaranty Trust Company of New York (the “</w:t>
      </w:r>
      <w:r>
        <w:rPr>
          <w:u w:val="single"/>
        </w:rPr>
        <w:t>Morgan Agreement</w:t>
      </w:r>
      <w:r>
        <w:rPr/>
        <w:t>”)</w:t>
      </w:r>
    </w:p>
    <w:p>
      <w:pPr>
        <w:pStyle w:val="BodyTextIndent"/>
        <w:tabs>
          <w:tab w:val="clear" w:pos="1440"/>
          <w:tab w:val="left" w:pos="720" w:leader="none"/>
        </w:tabs>
        <w:ind w:start="1440" w:end="-720"/>
        <w:rPr/>
      </w:pPr>
      <w:r>
        <w:rPr/>
        <w:tab/>
      </w:r>
    </w:p>
    <w:p>
      <w:pPr>
        <w:pStyle w:val="Normal"/>
        <w:jc w:val="both"/>
        <w:rPr>
          <w:rFonts w:ascii="Times New Roman" w:hAnsi="Times New Roman" w:cs="Times New Roman"/>
          <w:sz w:val="24"/>
        </w:rPr>
      </w:pPr>
      <w:r>
        <w:rPr>
          <w:rFonts w:cs="Times New Roman" w:ascii="Times New Roman" w:hAnsi="Times New Roman"/>
          <w:sz w:val="24"/>
        </w:rPr>
        <w:t>Ladies and Gentlemen:</w:t>
      </w:r>
    </w:p>
    <w:p>
      <w:pPr>
        <w:pStyle w:val="Normal"/>
        <w:tabs>
          <w:tab w:val="clear" w:pos="720"/>
          <w:tab w:val="left" w:pos="1440" w:leader="none"/>
        </w:tabs>
        <w:ind w:hanging="2160" w:start="2160" w:end="-720"/>
        <w:jc w:val="both"/>
        <w:rPr>
          <w:rFonts w:ascii="Times New Roman" w:hAnsi="Times New Roman" w:cs="Times New Roman"/>
          <w:sz w:val="24"/>
        </w:rPr>
      </w:pPr>
      <w:r>
        <w:rPr>
          <w:rFonts w:cs="Times New Roman" w:ascii="Times New Roman" w:hAnsi="Times New Roman"/>
          <w:sz w:val="24"/>
        </w:rPr>
        <w:tab/>
      </w:r>
    </w:p>
    <w:p>
      <w:pPr>
        <w:pStyle w:val="BodyText"/>
        <w:spacing w:lineRule="auto" w:line="240"/>
        <w:ind w:end="-720"/>
        <w:rPr/>
      </w:pPr>
      <w:r>
        <w:rPr/>
        <w:t>We are pleased to inform you that (i) effective December 31, 2000, J.P. Morgan &amp; Co. Incorporated merged with and into The Chase Manhattan Corporation and will operate under the name J.P. Morgan Chase &amp; Co. and (ii) we anticipate that on November 10, 2001, Morgan Guaranty Trust Company of New York (“Morgan”) will merge with and into The Chase Manhattan Bank ("Chase") and will, effective as of the Merger Date, operate under the name JP Morgan Chase Bank.  The date on which the merger of Morgan with and into Chase is legally effective is referred to herein as the “Merger Date”.  Under applicable law, upon the Merger Date, JP Morgan Chase Bank will succeed to all rights and obligations of Chase and Morgan.</w:t>
      </w:r>
    </w:p>
    <w:p>
      <w:pPr>
        <w:pStyle w:val="Normal"/>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ab/>
        <w:t>In order to maximize the benefits of netting, we feel that it would be mutually beneficial to have all transactions between you and each of Chase and Morgan, respectively, that are outstanding as of the Merger Date under the Chase Agreement and the Morgan Agreement be thereafter governed by and subject to the Chase Agreement.  Consequently, this letter sets forth the agreement between you and us that, effective upon our receipt of a copy of this letter executed by you, (i) all transactions governed by the Morgan Agreement shall, effective as of the Merger Date and at all times thereafter, be governed by the Chase Agreement, (ii) each Confirmation forming a part of, or stated to be governed by or subject to, the Morgan Agreement shall thereafter constitute a Confirmation which supplements, forms a part of and is subject to the Chase Agreement, (iii) the Chase Agreement shall be amended to include any Offices listed in the Morgan Agreement through which the parties may respectively act that are not listed in the Chase Agreement, and (iv) the Morgan Agreement shall terminate and be of no further force and effect.</w:t>
      </w:r>
    </w:p>
    <w:p>
      <w:pPr>
        <w:pStyle w:val="Normal"/>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r>
    </w:p>
    <w:p>
      <w:pPr>
        <w:pStyle w:val="Normal"/>
        <w:keepNext w:val="true"/>
        <w:keepLines/>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ab/>
        <w:t>Please signify your agreement to the foregoing by executing the enclosed copy of this letter and returning it to me.  If you have any questions with respect to the foregoing, please contact me at 212-270-5872 or by fax at 212-270-7487.  We would appreciate it if you would notify any Offices through which you act of the contents of this letter.</w:t>
      </w:r>
    </w:p>
    <w:p>
      <w:pPr>
        <w:pStyle w:val="Normal"/>
        <w:keepNext w:val="true"/>
        <w:keepLines/>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r>
    </w:p>
    <w:p>
      <w:pPr>
        <w:pStyle w:val="Normal"/>
        <w:keepNext w:val="true"/>
        <w:keepLines/>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ab/>
        <w:tab/>
        <w:tab/>
        <w:tab/>
        <w:tab/>
        <w:tab/>
        <w:t>Very truly yours,</w:t>
      </w:r>
    </w:p>
    <w:p>
      <w:pPr>
        <w:pStyle w:val="Normal"/>
        <w:keepNext w:val="true"/>
        <w:keepLines/>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r>
    </w:p>
    <w:p>
      <w:pPr>
        <w:pStyle w:val="Normal"/>
        <w:keepNext w:val="true"/>
        <w:keepLines/>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ab/>
        <w:tab/>
        <w:tab/>
        <w:tab/>
        <w:tab/>
        <w:tab/>
        <w:t xml:space="preserve">THE CHASE MANHATTAN BANK </w:t>
      </w:r>
    </w:p>
    <w:p>
      <w:pPr>
        <w:pStyle w:val="Normal"/>
        <w:keepNext w:val="true"/>
        <w:keepLines/>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ab/>
        <w:tab/>
        <w:tab/>
        <w:tab/>
        <w:tab/>
        <w:tab/>
      </w:r>
    </w:p>
    <w:p>
      <w:pPr>
        <w:pStyle w:val="Normal"/>
        <w:keepNext w:val="true"/>
        <w:keepLines/>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ab/>
        <w:tab/>
        <w:tab/>
        <w:tab/>
        <w:tab/>
        <w:tab/>
        <w:t>By:</w:t>
      </w:r>
      <w:r>
        <w:rPr>
          <w:rFonts w:cs="Times New Roman" w:ascii="Times New Roman" w:hAnsi="Times New Roman"/>
          <w:sz w:val="24"/>
          <w:u w:val="single"/>
        </w:rPr>
        <w:tab/>
        <w:tab/>
        <w:tab/>
        <w:tab/>
        <w:tab/>
      </w:r>
    </w:p>
    <w:p>
      <w:pPr>
        <w:pStyle w:val="Normal"/>
        <w:keepNext w:val="true"/>
        <w:keepLines/>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ab/>
        <w:tab/>
        <w:tab/>
        <w:tab/>
        <w:tab/>
        <w:tab/>
        <w:t>Title: Vice President and Assistant General Counsel</w:t>
      </w:r>
    </w:p>
    <w:p>
      <w:pPr>
        <w:pStyle w:val="Footer"/>
        <w:tabs>
          <w:tab w:val="clear" w:pos="4320"/>
          <w:tab w:val="clear" w:pos="8640"/>
        </w:tabs>
        <w:rPr>
          <w:rFonts w:ascii="Times New Roman" w:hAnsi="Times New Roman" w:cs="Times New Roman"/>
          <w:sz w:val="24"/>
        </w:rPr>
      </w:pPr>
      <w:r>
        <w:rPr>
          <w:rFonts w:cs="Times New Roman"/>
          <w:sz w:val="24"/>
        </w:rPr>
      </w:r>
    </w:p>
    <w:p>
      <w:pPr>
        <w:pStyle w:val="Normal"/>
        <w:tabs>
          <w:tab w:val="clear" w:pos="720"/>
          <w:tab w:val="left" w:pos="1440" w:leader="none"/>
        </w:tabs>
        <w:ind w:start="5040" w:end="-720"/>
        <w:jc w:val="both"/>
        <w:rPr>
          <w:rFonts w:ascii="Times New Roman" w:hAnsi="Times New Roman" w:cs="Times New Roman"/>
          <w:sz w:val="24"/>
        </w:rPr>
      </w:pPr>
      <w:r>
        <w:rPr>
          <w:rFonts w:cs="Times New Roman" w:ascii="Times New Roman" w:hAnsi="Times New Roman"/>
          <w:sz w:val="24"/>
        </w:rPr>
        <w:t>MORGAN GUARANTY TRUST COMPANY OF NEW YORK</w:t>
      </w:r>
    </w:p>
    <w:p>
      <w:pPr>
        <w:pStyle w:val="Normal"/>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ab/>
        <w:tab/>
        <w:tab/>
        <w:tab/>
        <w:tab/>
        <w:tab/>
      </w:r>
    </w:p>
    <w:p>
      <w:pPr>
        <w:pStyle w:val="Normal"/>
        <w:keepNext w:val="true"/>
        <w:keepLines/>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ab/>
        <w:tab/>
        <w:tab/>
        <w:tab/>
        <w:tab/>
        <w:tab/>
        <w:t>By:</w:t>
      </w:r>
      <w:r>
        <w:rPr>
          <w:rFonts w:cs="Times New Roman" w:ascii="Times New Roman" w:hAnsi="Times New Roman"/>
          <w:sz w:val="24"/>
          <w:u w:val="single"/>
        </w:rPr>
        <w:tab/>
        <w:tab/>
        <w:tab/>
        <w:tab/>
        <w:tab/>
      </w:r>
    </w:p>
    <w:p>
      <w:pPr>
        <w:pStyle w:val="Normal"/>
        <w:keepNext w:val="true"/>
        <w:keepLines/>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ab/>
        <w:tab/>
        <w:tab/>
        <w:tab/>
        <w:tab/>
        <w:tab/>
        <w:t>Title: Vice President and Assistant General Counsel</w:t>
      </w:r>
    </w:p>
    <w:p>
      <w:pPr>
        <w:pStyle w:val="Normal"/>
        <w:tabs>
          <w:tab w:val="clear" w:pos="720"/>
          <w:tab w:val="left" w:pos="1440" w:leader="none"/>
        </w:tabs>
        <w:ind w:end="-720"/>
        <w:jc w:val="both"/>
        <w:rPr>
          <w:rFonts w:ascii="Times New Roman" w:hAnsi="Times New Roman" w:cs="Times New Roman"/>
          <w:sz w:val="24"/>
          <w:u w:val="single"/>
        </w:rPr>
      </w:pPr>
      <w:r>
        <w:rPr>
          <w:rFonts w:cs="Times New Roman" w:ascii="Times New Roman" w:hAnsi="Times New Roman"/>
          <w:sz w:val="24"/>
          <w:u w:val="single"/>
        </w:rPr>
      </w:r>
    </w:p>
    <w:p>
      <w:pPr>
        <w:pStyle w:val="Footer"/>
        <w:tabs>
          <w:tab w:val="clear" w:pos="4320"/>
          <w:tab w:val="clear" w:pos="8640"/>
        </w:tabs>
        <w:rPr>
          <w:rFonts w:ascii="Times New Roman" w:hAnsi="Times New Roman" w:cs="Times New Roman"/>
          <w:sz w:val="24"/>
          <w:u w:val="single"/>
        </w:rPr>
      </w:pPr>
      <w:r>
        <w:rPr>
          <w:rFonts w:cs="Times New Roman"/>
          <w:sz w:val="24"/>
          <w:u w:val="single"/>
        </w:rPr>
      </w:r>
    </w:p>
    <w:p>
      <w:pPr>
        <w:pStyle w:val="Normal"/>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Agreed to by:</w:t>
      </w:r>
    </w:p>
    <w:p>
      <w:pPr>
        <w:pStyle w:val="Normal"/>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tab/>
        <w:tab/>
      </w:r>
    </w:p>
    <w:p>
      <w:pPr>
        <w:pStyle w:val="Normal"/>
        <w:tabs>
          <w:tab w:val="clear" w:pos="720"/>
          <w:tab w:val="left" w:pos="1440" w:leader="none"/>
        </w:tabs>
        <w:ind w:end="-72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end="-720"/>
        <w:jc w:val="both"/>
        <w:rPr/>
      </w:pPr>
      <w:r>
        <w:rPr>
          <w:rFonts w:cs="Times New Roman" w:ascii="Times New Roman" w:hAnsi="Times New Roman"/>
          <w:sz w:val="24"/>
        </w:rPr>
        <w:t>Title:</w:t>
      </w:r>
      <w:r>
        <w:rPr>
          <w:rFonts w:cs="Times New Roman" w:ascii="Times New Roman" w:hAnsi="Times New Roman"/>
          <w:sz w:val="24"/>
          <w:u w:val="single"/>
        </w:rPr>
        <w:tab/>
        <w:tab/>
        <w:tab/>
      </w:r>
    </w:p>
    <w:p>
      <w:pPr>
        <w:pStyle w:val="Footer"/>
        <w:tabs>
          <w:tab w:val="clear" w:pos="4320"/>
          <w:tab w:val="clear" w:pos="8640"/>
        </w:tabs>
        <w:rPr>
          <w:rFonts w:ascii="Times New Roman" w:hAnsi="Times New Roman" w:cs="Times New Roman"/>
          <w:sz w:val="24"/>
          <w:u w:val="single"/>
        </w:rPr>
      </w:pPr>
      <w:r>
        <w:rPr>
          <w:rFonts w:cs="Times New Roman"/>
          <w:sz w:val="24"/>
          <w:u w:val="single"/>
        </w:rPr>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7290" w:leader="none"/>
        </w:tabs>
        <w:spacing w:lineRule="atLeast" w:line="260"/>
        <w:jc w:val="both"/>
        <w:rPr>
          <w:rFonts w:ascii="Times New Roman" w:hAnsi="Times New Roman" w:cs="Times New Roman"/>
          <w:sz w:val="24"/>
        </w:rPr>
      </w:pPr>
      <w:r>
        <w:rPr>
          <w:rFonts w:cs="Times New Roman" w:ascii="Times New Roman" w:hAnsi="Times New Roman"/>
          <w:sz w:val="24"/>
        </w:rPr>
      </w:r>
    </w:p>
    <w:p>
      <w:pPr>
        <w:pStyle w:val="Normal"/>
        <w:spacing w:lineRule="atLeast" w:line="260"/>
        <w:jc w:val="both"/>
        <w:rPr>
          <w:rFonts w:ascii="Times New Roman" w:hAnsi="Times New Roman" w:cs="Times New Roman"/>
          <w:sz w:val="24"/>
        </w:rPr>
      </w:pPr>
      <w:r>
        <w:rPr>
          <w:rFonts w:cs="Times New Roman" w:ascii="Times New Roman" w:hAnsi="Times New Roman"/>
          <w:sz w:val="24"/>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322051</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322051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2"/>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AcrobatBookmark">
    <w:name w:val="Acrobat Bookmark"/>
    <w:basedOn w:val="CommentText"/>
    <w:qFormat/>
    <w:pPr/>
    <w:rPr>
      <w:rFonts w:ascii="Arial" w:hAnsi="Arial" w:cs="Arial"/>
      <w:i/>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rFonts w:ascii="Times New Roman" w:hAnsi="Times New Roman" w:cs="Times New Roman"/>
      <w:sz w:val="24"/>
    </w:rPr>
  </w:style>
  <w:style w:type="paragraph" w:styleId="BodyTextIndent">
    <w:name w:val="Body Text Indent"/>
    <w:basedOn w:val="Normal"/>
    <w:pPr>
      <w:tabs>
        <w:tab w:val="clear" w:pos="720"/>
        <w:tab w:val="left" w:pos="1440" w:leader="none"/>
      </w:tabs>
      <w:ind w:hanging="2160" w:start="2160" w:end="0"/>
      <w:jc w:val="both"/>
    </w:pPr>
    <w:rPr>
      <w:rFonts w:ascii="Times New Roman" w:hAnsi="Times New Roman" w:cs="Times New Roman"/>
      <w:sz w:val="24"/>
    </w:rPr>
  </w:style>
  <w:style w:type="paragraph" w:styleId="BlockText">
    <w:name w:val="Block Text"/>
    <w:basedOn w:val="Normal"/>
    <w:qFormat/>
    <w:pPr>
      <w:ind w:hanging="720" w:start="1440" w:end="-720"/>
      <w:jc w:val="both"/>
    </w:pPr>
    <w:rPr>
      <w:rFonts w:ascii="Times New Roman" w:hAnsi="Times New Roman" w:cs="Times New Roman"/>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2001-01-19T18:35:00Z</dcterms:created>
  <dc:creator>J.P. Morgan</dc:creator>
  <dc:description/>
  <dc:language>en-CA</dc:language>
  <cp:lastModifiedBy>ryanm</cp:lastModifiedBy>
  <cp:lastPrinted>2001-10-24T13:57:00Z</cp:lastPrinted>
  <dcterms:modified xsi:type="dcterms:W3CDTF">2001-10-31T19:00:00Z</dcterms:modified>
  <cp:revision>21</cp:revision>
  <dc:subject/>
  <dc:title>JP Morgan Chase &amp; Co</dc:title>
</cp:coreProperties>
</file>