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t>November 28,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r>
    </w:p>
    <w:p>
      <w:pPr>
        <w:pStyle w:val="Normal"/>
        <w:rPr>
          <w:rFonts w:ascii="Times New Roman" w:hAnsi="Times New Roman" w:cs="Times New Roman"/>
        </w:rPr>
      </w:pPr>
      <w:r>
        <w:rPr>
          <w:rFonts w:cs="Times New Roman" w:ascii="Times New Roman" w:hAnsi="Times New Roman"/>
        </w:rPr>
        <w:t>Attention: Mark Knippa</w:t>
      </w:r>
    </w:p>
    <w:p>
      <w:pPr>
        <w:pStyle w:val="Header"/>
        <w:tabs>
          <w:tab w:val="clear" w:pos="4320"/>
          <w:tab w:val="clear" w:pos="8640"/>
        </w:tabs>
        <w:rPr>
          <w:rFonts w:ascii="Times New Roman" w:hAnsi="Times New Roman" w:cs="Times New Roman"/>
        </w:rPr>
      </w:pPr>
      <w:r>
        <w:rPr>
          <w:rFonts w:cs="Times New Roman" w:ascii="Times New Roman" w:hAnsi="Times New Roman"/>
        </w:rPr>
        <w:t>1400 Smith Street</w:t>
      </w:r>
    </w:p>
    <w:p>
      <w:pPr>
        <w:pStyle w:val="Normal"/>
        <w:rPr>
          <w:rFonts w:ascii="Times New Roman" w:hAnsi="Times New Roman" w:cs="Times New Roman"/>
        </w:rPr>
      </w:pPr>
      <w:r>
        <w:rPr>
          <w:rFonts w:cs="Times New Roman" w:ascii="Times New Roman" w:hAnsi="Times New Roman"/>
        </w:rPr>
        <w:t>Houston, Texas 77002-7361</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RE:  Facility Agreement associated with Florida Gas Transmission Company’s (“FGT”) Station 13, Washington County, FL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Gentlemen:</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This “Facility Letter Agreement” governs a portion of the business relationship between Gulf Power Company (“Gulf”) and Enron Compression Services Company (“ECS” and ECS’s corporate parent, Enron North America Corp.) in connection with certain electric compression facilities to be installed at FGT’s Station No. 13 located in Washington County, Florida  (“FGT Station 13”).</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As part of a planned expansion of FGT’s natural gas pipeline capacity, ECS is proposing to contract with Gulf Power Company (“Gulf Power”) to provide electric service to the ECS’s new electric motor driver compression equipment located at FGT’s Station 13 (the “Electric Motor”).  Gulf Power has proposed in this agreement to design, construct, and own the power line and all associated facilities (including substation) (the “Transmission Facilities”) in accordance with ECS’s standards which are required to provide up to ________ kW of permanent electric service for ECS’s electric motor driver under the terms and conditions set forth in this Facility Letter Agreement.  The terms and conditions set forth herein are in lieu of any up-front payments that Gulf Power would otherwise be entitled to charge for the design and construction of the Transmission Facilities pursuant to the Company’s policies regarding contributions in aid of construction, etc.  </w:t>
      </w:r>
    </w:p>
    <w:p>
      <w:pPr>
        <w:pStyle w:val="Header"/>
        <w:tabs>
          <w:tab w:val="clear" w:pos="4320"/>
          <w:tab w:val="clear" w:pos="8640"/>
        </w:tabs>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to forego any up-front payments associated with the design, construction and operation of the Transmission Facilities in consideration for the commitment from ECS to maintain Gulf Power as the retail electric supplier for the Electric Motor for a period of at least the first five (5) years following completion and initial commercial operation of the new compression equipement at FGT’s Station 13 (“Commercial Operation Date”).  The terms and conditions concerning the actual supply and consumption of electric energy shall be set forth in a standard contract for electric service, subtantially in the form attached hereto as Exhibit “A”, to be executed by the Gulf Power and ECS along with this Facility Letter Agreement.  ECS will maintain Gulf Power as the retail electric supplier for such five (5) year period subject to the terms and conditions set forth in Gulf Power’s PX or PXT tariff or the successor to such tariff.  If at any time during the five (5) year period following the Commercial Operation Date (the “Service Agreement Term”), Gulf Power has available another tariff schedule which in the ECS’s sole discretion offers ECS a more advantageous electrical power purchase arrangement, ECS shall have the option to substitute such tariff schedule for service for the remainder of the Service Agreement Term.  Such substitution shall be at no cost to ECS.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that ECS will receive the full Transmission Ownership Discount and the Transmission Metering Voltage Discounts as specified in Gulf Power’s PX or PXT tariff, as if ECS had furnished, operated, and owned the complete step-down transformer.  Additionally, Gulf Power agrees that the use of low side metering will be adjusted as proved and determined by actual tests of the substation transformer/s to provide the billing of actual electric power usage from Gulf Power.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Power agrees that after the expiration of the Service Agreement Term, Gulf Power will provide ECS with full access to utilize the substation and ECS will not incur any additional expenses or charges for or in connection with the utilization of the substation.  ECS will continue to have a direct connection to the transmission infrastructure owned and operated by Gulf Power after the expiration of the Service Agreement Term.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Gulf will make every reasonable effort and use due diligence to complete the Transmission Facilities in order to be able to provide electric service to the Electric Motor on or before February 1, 2002.  Gulf Power acknowledges that the February 1, 2000 date is both reasonable and realistic.  Gulf Power acknowledges that ECS has executed with Gulf Power a letter agreement for a commitment of funds dated September 27, 2000 which initiated the power line construction to ensure a reasonable time for all procurement and construction in order to provide electric service by February 1, 2002.  Gulf Power will provide ECS with updates of the construction progress as requested by ECS.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the execution of this Facility Letter Agreement, the certain letter agreement between Gulf Power and ECS that committed funds for construction of the Transmission Facilities dated September 27, 2000 accepted October 3, 2000 will be terminated.  After execution of this Facility Letter Agreement, Gulf Power will be authorized to proceed to completion with the construction of the Transmission Facilities.  In the event that FGT fails to receive authority from all regulatory agencies with jurisdiction over the expansion of FGT’s natural gas pipeline such that the intallation of the Electric Motor is not required as contemplated by this Facility Letter Agreement, then ECS shall promptly notify Gulf Power in writing to terminate further activities associated with the construction of the Transmission Facilities within 10 days of Gulf Power’s receipt of such notice.  The tenth day following Gulf Power’s receipt of written notice to terminate shall be referred as the “Termination Date”.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Upon submission of such written notification, ECS and Enron North America Corp. agrees that ECS and/or Enron North America Corp., shall reimburse Gulf Power the reasonable costs Gulf Power has actually incurred or is otherwise obligated to pay as a result of activities undertaken in connection with the construction of the Transmission Facilities through the Termination Date.  The reimbursable costs shall include those costs that Gulf Power reasonably incurs in winding-up the construction project, including cancellation charges and the costs of demobilizing (which demobilizing costs include those necessary to ensure the safety of persons and property and the integrity of the Gulf Power electric system). ECS acknowledges that in the normal course of performing the work related to design and construction of the Transmission Facilities, Gulf Power will incur the liability and obligation for costs associated with commitments Gulf Power has made for equipment and material that may not be known or determinable until sometime after 30 days following Gulf Power’s receipt of the written notification set forth above.  Gulf Power and ECS agree that the scheduled attached hereto as Exibit “B” set forth a reasonable estimate of the costs to be incurred by Gulf Power for the construction of the Transmission Facilities and the timing thereof.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The reimbursable costs under the foregoing paragraph shall also include carrying charges related to Gulf’s actual expenditures associated with construction of the Transmission Facilities through the date of payment as calculated using an annual interest rate of 8.82 percent.  The amount of such carrying charges shall be calculated and included on the invoice setting forth the reimbursement obligation along with a per diem rate that will apply from the date of the invoice through the date of payment.  Payment of the full amount shown on the invoice along with the additional accrued carrying charges determined in accordance with the quoted per diem rate is due to Gulf within 30 days of the date of the invoice.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It is the intent of the parties that this Facility Letter Agreement be binding upon the parties to this agreement and their respective successors and assigns.  Once signed by each of the parties, this letter agreement shall be effective until the fifth anniversary of the Commercial Operation Date.  </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Any dispute relating to this Facility Letter Agreement shall be resolved by binding arbitration pursuant to the Commercial Arbitration Rules of the American Arbitration Association ("</w:t>
      </w:r>
      <w:r>
        <w:rPr>
          <w:rFonts w:cs="Times New Roman" w:ascii="Times New Roman" w:hAnsi="Times New Roman"/>
          <w:u w:val="single"/>
        </w:rPr>
        <w:t>AAA</w:t>
      </w:r>
      <w:r>
        <w:rPr>
          <w:rFonts w:cs="Times New Roman" w:ascii="Times New Roman" w:hAnsi="Times New Roman"/>
        </w:rPr>
        <w:t xml:space="preserve">") and all such proceedings shall be subject to the Federal Arbitration Act.  Each party shall select one arbitrator and the two arbitrators shall select a third arbitrator who has not previously been employed by either ECS or Gulf Power and does not have a direct or indirect interest in either ECS or Gulf Power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w:t>
      </w:r>
    </w:p>
    <w:p>
      <w:pPr>
        <w:pStyle w:val="BodyTextIndent"/>
        <w:ind w:hanging="0" w:end="0"/>
        <w:jc w:val="both"/>
        <w:rPr>
          <w:rFonts w:ascii="Times New Roman" w:hAnsi="Times New Roman" w:cs="Times New Roman"/>
          <w:b/>
          <w:sz w:val="24"/>
        </w:rPr>
      </w:pPr>
      <w:r>
        <w:rPr>
          <w:rFonts w:cs="Times New Roman"/>
          <w:b/>
          <w:sz w:val="24"/>
        </w:rPr>
      </w:r>
    </w:p>
    <w:p>
      <w:pPr>
        <w:pStyle w:val="BodyTextIndent2"/>
        <w:ind w:hanging="0" w:end="0"/>
        <w:rPr>
          <w:sz w:val="24"/>
        </w:rPr>
      </w:pPr>
      <w:r>
        <w:rPr>
          <w:sz w:val="24"/>
        </w:rPr>
        <w:t xml:space="preserve">THIS FACILITY LETTER AGREEMENT SHALL BE GOVERNED BY AND CONSTRUED IN ACCORDANCE WITH THE LAWS OF THE STATE OF TEXAS, EXCLUDING ANY CONFLICTS-OF-LAW RULE OR PRINCIPLE WHICH MIGHT REFER TO THE LAWS OF ANOTHER STATE.  </w:t>
      </w:r>
    </w:p>
    <w:p>
      <w:pPr>
        <w:pStyle w:val="Normal"/>
        <w:jc w:val="both"/>
        <w:rPr>
          <w:rFonts w:ascii="Times New Roman" w:hAnsi="Times New Roman" w:cs="Times New Roman"/>
        </w:rPr>
      </w:pPr>
      <w:r>
        <w:rPr>
          <w:rFonts w:cs="Times New Roman" w:ascii="Times New Roman" w:hAnsi="Times New Roman"/>
        </w:rPr>
        <w:t>In the event of conflict between the terms of the service agreement to be entered into between Gulf Power and ECS, in substantially the form set forth on Exhibit “A” attached hereto, and the terms of this Facility Letter Agreement, the terms of this Facility Letter Agreement shall control.</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Please signify acceptance of the terms set forth in this letter agreement by signing the statement below and returning the signed letter within 10 days from the date above.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Thank you for the opportunity to serve the energy needs of ECS with respect to this project.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Sincerely,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ab/>
        <w:t>GULF POWER COMPANY</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tab/>
        <w:tab/>
        <w:tab/>
        <w:t xml:space="preserve">       By:________________________</w:t>
      </w:r>
    </w:p>
    <w:p>
      <w:pPr>
        <w:pStyle w:val="Normal"/>
        <w:jc w:val="both"/>
        <w:rPr>
          <w:rFonts w:ascii="Times New Roman" w:hAnsi="Times New Roman" w:cs="Times New Roman"/>
        </w:rPr>
      </w:pPr>
      <w:r>
        <w:rPr>
          <w:rFonts w:cs="Times New Roman" w:ascii="Times New Roman" w:hAnsi="Times New Roman"/>
        </w:rPr>
        <w:tab/>
        <w:tab/>
        <w:tab/>
        <w:tab/>
        <w:tab/>
        <w:tab/>
        <w:t>Vice President</w:t>
      </w:r>
    </w:p>
    <w:p>
      <w:pPr>
        <w:pStyle w:val="Normal"/>
        <w:jc w:val="both"/>
        <w:rPr>
          <w:rFonts w:ascii="Times New Roman" w:hAnsi="Times New Roman" w:cs="Times New Roman"/>
        </w:rPr>
      </w:pPr>
      <w:r>
        <w:rPr>
          <w:rFonts w:cs="Times New Roman" w:ascii="Times New Roman" w:hAnsi="Times New Roman"/>
        </w:rPr>
        <w:t>JAS/gp</w:t>
      </w:r>
      <w:r>
        <w:br w:type="page"/>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BodyText2"/>
        <w:rPr/>
      </w:pPr>
      <w:r>
        <w:rPr/>
        <w:t>The foregoing is accepted, acknowledged and agreed to by Enron Compression Services Company and Enron North America Corp., by and through the following signatures of duly authorized executive officers of the respective companies, this _____ day of November 2000.</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Enron Compression Services Company</w:t>
        <w:tab/>
        <w:tab/>
        <w:t xml:space="preserve">Enron North America Corp. </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By:________________________</w:t>
        <w:tab/>
        <w:tab/>
        <w:tab/>
        <w:t>By:________________________</w:t>
      </w:r>
    </w:p>
    <w:p>
      <w:pPr>
        <w:pStyle w:val="Normal"/>
        <w:rPr>
          <w:rFonts w:ascii="Times New Roman" w:hAnsi="Times New Roman" w:cs="Times New Roman"/>
        </w:rPr>
      </w:pPr>
      <w:r>
        <w:rPr>
          <w:rFonts w:cs="Times New Roman" w:ascii="Times New Roman" w:hAnsi="Times New Roman"/>
        </w:rPr>
        <w:t>Title:_______________________</w:t>
        <w:tab/>
        <w:tab/>
        <w:tab/>
        <w:t>Title:_______________________</w:t>
      </w:r>
    </w:p>
    <w:p>
      <w:pPr>
        <w:pStyle w:val="Normal"/>
        <w:rPr>
          <w:rFonts w:ascii="Times New Roman" w:hAnsi="Times New Roman" w:cs="Times New Roman"/>
        </w:rPr>
      </w:pPr>
      <w:r>
        <w:rPr>
          <w:rFonts w:cs="Times New Roman" w:ascii="Times New Roman" w:hAnsi="Times New Roman"/>
        </w:rPr>
      </w:r>
    </w:p>
    <w:p>
      <w:pPr>
        <w:pStyle w:val="Header"/>
        <w:tabs>
          <w:tab w:val="clear" w:pos="4320"/>
          <w:tab w:val="clear" w:pos="8640"/>
        </w:tabs>
        <w:rPr>
          <w:rFonts w:ascii="Times New Roman" w:hAnsi="Times New Roman" w:cs="Times New Roman"/>
        </w:rPr>
      </w:pPr>
      <w:r>
        <w:rPr>
          <w:rFonts w:cs="Times New Roman" w:ascii="Times New Roman" w:hAnsi="Times New Roman"/>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ind w:hanging="0" w:start="0"/>
      <w:rPr/>
    </w:pPr>
    <w:r>
      <w:rPr/>
      <w:t>Enron Compression Services Company</w:t>
    </w:r>
    <w:r>
      <mc:AlternateContent>
        <mc:Choice Requires="wps">
          <w:drawing>
            <wp:anchor behindDoc="1" distT="0" distB="0" distL="114935" distR="114935" simplePos="0" locked="0" layoutInCell="1" allowOverlap="1" relativeHeight="5">
              <wp:simplePos x="0" y="0"/>
              <wp:positionH relativeFrom="column">
                <wp:posOffset>4338955</wp:posOffset>
              </wp:positionH>
              <wp:positionV relativeFrom="paragraph">
                <wp:posOffset>-95885</wp:posOffset>
              </wp:positionV>
              <wp:extent cx="2112010" cy="740410"/>
              <wp:effectExtent l="0" t="0" r="0" b="0"/>
              <wp:wrapNone/>
              <wp:docPr id="1" name="Frame2"/>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7.55pt;mso-position-vertical-relative:text;margin-left:341.6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r>
    <w:r>
      <mc:AlternateContent>
        <mc:Choice Requires="wps">
          <w:drawing>
            <wp:anchor behindDoc="1" distT="0" distB="0" distL="114935" distR="114935" simplePos="0" locked="0" layoutInCell="1" allowOverlap="1" relativeHeight="6">
              <wp:simplePos x="0" y="0"/>
              <wp:positionH relativeFrom="column">
                <wp:posOffset>4217035</wp:posOffset>
              </wp:positionH>
              <wp:positionV relativeFrom="paragraph">
                <wp:posOffset>56515</wp:posOffset>
              </wp:positionV>
              <wp:extent cx="2112010" cy="740410"/>
              <wp:effectExtent l="0" t="0" r="0" b="0"/>
              <wp:wrapNone/>
              <wp:docPr id="2" name="Frame1"/>
              <a:graphic xmlns:a="http://schemas.openxmlformats.org/drawingml/2006/main">
                <a:graphicData uri="http://schemas.microsoft.com/office/word/2010/wordprocessingShape">
                  <wps:wsp>
                    <wps:cNvSpPr txBox="1"/>
                    <wps:spPr>
                      <a:xfrm>
                        <a:off x="0" y="0"/>
                        <a:ext cx="2112010" cy="740410"/>
                      </a:xfrm>
                      <a:prstGeom prst="rect"/>
                      <a:solidFill>
                        <a:srgbClr val="FFFFFF"/>
                      </a:solidFill>
                      <a:ln w="9525">
                        <a:solidFill>
                          <a:srgbClr val="000000"/>
                        </a:solidFill>
                      </a:ln>
                    </wps:spPr>
                    <wps:txb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wps:txbx>
                    <wps:bodyPr anchor="t" lIns="91440" tIns="45720" rIns="91440" bIns="45720">
                      <a:noAutofit/>
                    </wps:bodyPr>
                  </wps:wsp>
                </a:graphicData>
              </a:graphic>
            </wp:anchor>
          </w:drawing>
        </mc:Choice>
        <mc:Fallback>
          <w:pict>
            <v:rect fillcolor="#FFFFFF" strokecolor="#000000" strokeweight="0pt" style="position:absolute;rotation:-0;width:166.3pt;height:58.3pt;mso-wrap-distance-left:9.05pt;mso-wrap-distance-right:9.05pt;mso-wrap-distance-top:0pt;mso-wrap-distance-bottom:0pt;margin-top:4.45pt;mso-position-vertical-relative:text;margin-left:332.05pt;mso-position-horizontal-relative:text">
              <v:textbox>
                <w:txbxContent>
                  <w:p>
                    <w:pPr>
                      <w:pStyle w:val="Normal"/>
                      <w:rPr>
                        <w:rFonts w:ascii="Times New Roman" w:hAnsi="Times New Roman" w:cs="Times New Roman"/>
                        <w:b/>
                      </w:rPr>
                    </w:pPr>
                    <w:r>
                      <w:rPr>
                        <w:rFonts w:cs="Times New Roman" w:ascii="Times New Roman" w:hAnsi="Times New Roman"/>
                        <w:b/>
                      </w:rPr>
                      <w:t>CONFIDENTIAL DRAFT</w:t>
                    </w:r>
                  </w:p>
                  <w:p>
                    <w:pPr>
                      <w:pStyle w:val="Normal"/>
                      <w:rPr>
                        <w:rFonts w:ascii="Times New Roman" w:hAnsi="Times New Roman" w:cs="Times New Roman"/>
                        <w:b/>
                      </w:rPr>
                    </w:pPr>
                    <w:r>
                      <w:rPr>
                        <w:rFonts w:cs="Times New Roman" w:ascii="Times New Roman" w:hAnsi="Times New Roman"/>
                        <w:b/>
                      </w:rPr>
                      <w:t xml:space="preserve">11/29/00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Times New Roman" w:hAnsi="Times New Roman" w:cs="Times New Roman"/>
    </w:rPr>
  </w:style>
  <w:style w:type="paragraph" w:styleId="Heading2">
    <w:name w:val="heading 2"/>
    <w:basedOn w:val="Normal"/>
    <w:next w:val="Normal"/>
    <w:qFormat/>
    <w:pPr>
      <w:numPr>
        <w:ilvl w:val="1"/>
        <w:numId w:val="1"/>
      </w:numPr>
      <w:spacing w:before="0" w:after="120"/>
      <w:ind w:firstLine="720" w:start="0" w:end="0"/>
      <w:jc w:val="both"/>
      <w:outlineLvl w:val="1"/>
    </w:pPr>
    <w:rPr>
      <w:rFonts w:ascii="Times New Roman" w:hAnsi="Times New Roman" w:cs="Times New Roman"/>
      <w:sz w:val="2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color w:val="FF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rFonts w:ascii="Times New Roman" w:hAnsi="Times New Roman" w:cs="Times New Roman"/>
    </w:rPr>
  </w:style>
  <w:style w:type="paragraph" w:styleId="BodyTextIndent">
    <w:name w:val="Body Text Indent"/>
    <w:basedOn w:val="Normal"/>
    <w:pPr>
      <w:ind w:firstLine="720" w:start="0" w:end="0"/>
    </w:pPr>
    <w:rPr>
      <w:rFonts w:ascii="Times New Roman" w:hAnsi="Times New Roman" w:cs="Times New Roman"/>
      <w:sz w:val="22"/>
    </w:rPr>
  </w:style>
  <w:style w:type="paragraph" w:styleId="BodyTextIndent2">
    <w:name w:val="Body Text Indent 2"/>
    <w:basedOn w:val="Normal"/>
    <w:qFormat/>
    <w:pPr>
      <w:ind w:firstLine="720" w:start="0" w:end="0"/>
      <w:jc w:val="both"/>
    </w:pPr>
    <w:rPr>
      <w:rFonts w:ascii="Times New Roman" w:hAnsi="Times New Roman" w:cs="Times New Roman"/>
      <w:b/>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2000-11-30T21:30:00Z</dcterms:created>
  <dc:creator>JAS/TSA</dc:creator>
  <dc:description/>
  <dc:language>en-CA</dc:language>
  <cp:lastModifiedBy>gnemec</cp:lastModifiedBy>
  <cp:lastPrinted>2000-11-29T12:04:00Z</cp:lastPrinted>
  <dcterms:modified xsi:type="dcterms:W3CDTF">2000-11-30T21:30:00Z</dcterms:modified>
  <cp:revision>2</cp:revision>
  <dc:subject/>
  <dc:title>ECS letter agreement</dc:title>
</cp:coreProperties>
</file>