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16"/>
        </w:rPr>
      </w:pPr>
      <w:r>
        <w:object w:dxaOrig="3529" w:dyaOrig="133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28.8pt;width:176.45pt;height:66.8pt;mso-wrap-distance-left:9.05pt;mso-wrap-distance-right:9.05pt;mso-position-horizontal-relative:text;mso-position-vertical-relative:text" filled="f" o:ole="">
            <v:imagedata r:id="rId3" o:title=""/>
            <w10:wrap type="topAndBottom"/>
          </v:shape>
          <o:OLEObject Type="Embed" ProgID="" ShapeID="ole_rId2" DrawAspect="Content" ObjectID="_824526638" r:id="rId2"/>
        </w:object>
      </w:r>
      <w:r>
        <w:rPr>
          <w:rFonts w:cs="Arial" w:ascii="Arial" w:hAnsi="Arial"/>
          <w:sz w:val="16"/>
        </w:rPr>
        <w:t>P. O. Box 1396</w:t>
      </w:r>
    </w:p>
    <w:p>
      <w:pPr>
        <w:pStyle w:val="Normal"/>
        <w:jc w:val="center"/>
        <w:rPr>
          <w:rFonts w:ascii="Arial" w:hAnsi="Arial" w:cs="Arial"/>
          <w:sz w:val="16"/>
        </w:rPr>
      </w:pPr>
      <w:r>
        <w:rPr>
          <w:rFonts w:cs="Arial" w:ascii="Arial" w:hAnsi="Arial"/>
          <w:sz w:val="16"/>
        </w:rPr>
        <w:t>Houston, Texas 77251</w:t>
      </w:r>
    </w:p>
    <w:p>
      <w:pPr>
        <w:pStyle w:val="Normal"/>
        <w:jc w:val="center"/>
        <w:rPr/>
      </w:pPr>
      <w:r>
        <w:rPr/>
      </w:r>
    </w:p>
    <w:p>
      <w:pPr>
        <w:pStyle w:val="Normal"/>
        <w:jc w:val="center"/>
        <w:rPr/>
      </w:pPr>
      <w:r>
        <w:rPr/>
      </w:r>
    </w:p>
    <w:p>
      <w:pPr>
        <w:pStyle w:val="Normal"/>
        <w:jc w:val="center"/>
        <w:rPr/>
      </w:pPr>
      <w:r>
        <w:rPr/>
        <w:t>November 14, 2000</w:t>
      </w:r>
    </w:p>
    <w:p>
      <w:pPr>
        <w:pStyle w:val="Normal"/>
        <w:rPr/>
      </w:pPr>
      <w:r>
        <w:rPr/>
      </w:r>
    </w:p>
    <w:p>
      <w:pPr>
        <w:pStyle w:val="Heading1"/>
        <w:ind w:hanging="0" w:start="0"/>
        <w:rPr/>
      </w:pPr>
      <w:r>
        <w:rPr/>
        <w:t>STRICTLY CONFIDENTIAL</w:t>
      </w:r>
    </w:p>
    <w:p>
      <w:pPr>
        <w:pStyle w:val="Normal"/>
        <w:rPr/>
      </w:pPr>
      <w:r>
        <w:rPr/>
      </w:r>
    </w:p>
    <w:p>
      <w:pPr>
        <w:pStyle w:val="Normal"/>
        <w:rPr/>
      </w:pPr>
      <w:r>
        <w:rPr/>
        <w:t>Enron North America Corp.</w:t>
      </w:r>
    </w:p>
    <w:p>
      <w:pPr>
        <w:pStyle w:val="Normal"/>
        <w:rPr/>
      </w:pPr>
      <w:r>
        <w:rPr/>
      </w:r>
    </w:p>
    <w:p>
      <w:pPr>
        <w:pStyle w:val="Normal"/>
        <w:rPr/>
      </w:pPr>
      <w:r>
        <w:rPr/>
      </w:r>
    </w:p>
    <w:p>
      <w:pPr>
        <w:pStyle w:val="Normal"/>
        <w:rPr/>
      </w:pPr>
      <w:r>
        <w:rPr/>
      </w:r>
    </w:p>
    <w:p>
      <w:pPr>
        <w:pStyle w:val="Normal"/>
        <w:rPr/>
      </w:pPr>
      <w:r>
        <w:rPr/>
        <w:t>Ladies and Gentlemen:</w:t>
      </w:r>
    </w:p>
    <w:p>
      <w:pPr>
        <w:pStyle w:val="Normal"/>
        <w:rPr/>
      </w:pPr>
      <w:r>
        <w:rPr/>
      </w:r>
    </w:p>
    <w:p>
      <w:pPr>
        <w:pStyle w:val="Normal"/>
        <w:spacing w:before="0" w:after="240"/>
        <w:jc w:val="both"/>
        <w:rPr/>
      </w:pPr>
      <w:r>
        <w:rPr/>
        <w:tab/>
        <w:t>In connection with the consideration of a possible transaction between Buccaneer Gas Pipeline Company, L.L.C. (</w:t>
      </w:r>
      <w:r>
        <w:rPr>
          <w:i/>
        </w:rPr>
        <w:t>“Buccaneer”</w:t>
      </w:r>
      <w:r>
        <w:rPr/>
        <w:t xml:space="preserve">) and Enron North America Corp. (“ENA”) in connection with the transportation of natural gas to ENA’s proposed electric generation projects or other commercial projects (such possible transaction being herein referred to as the </w:t>
      </w:r>
      <w:r>
        <w:rPr>
          <w:i/>
        </w:rPr>
        <w:t>“Transaction”</w:t>
      </w:r>
      <w:r>
        <w:rPr/>
        <w:t xml:space="preserve">), Buccaneer and ENA acknowledge that each company may make available to the other company from time to time certain non-public information concerning the Transaction, (such non-public information, together with any summaries, analyses, studies and other compilations derived therefrom, as well as any details regarding the proposed structure of the Transaction, being herein referred to as </w:t>
      </w:r>
      <w:r>
        <w:rPr>
          <w:i/>
        </w:rPr>
        <w:t>“Evaluation Material”</w:t>
      </w:r>
      <w:r>
        <w:rPr/>
        <w:t xml:space="preserve">).  As a condition to entering into any discussions relating to a Transaction, each of Buccaneer and ENA agrees to comply with its obligations hereunder regarding any Evaluation Material concerning the other party that has previously been or is hereafter furnished to such party or its directors, officers, employees, agents or advisers (collectively, </w:t>
      </w:r>
      <w:r>
        <w:rPr>
          <w:i/>
        </w:rPr>
        <w:t>“Representatives”</w:t>
      </w:r>
      <w:r>
        <w:rPr/>
        <w:t>) by or on behalf of the disclosing party.  All references in this letter agreement to a party shall be deemed to include the applicable entity executing this letter agreement and its subsidiaries and affiliates.</w:t>
      </w:r>
    </w:p>
    <w:p>
      <w:pPr>
        <w:sectPr>
          <w:headerReference w:type="default" r:id="rId4"/>
          <w:footerReference w:type="default" r:id="rId5"/>
          <w:type w:val="nextPage"/>
          <w:pgSz w:w="12240" w:h="15840"/>
          <w:pgMar w:left="1440" w:right="1440" w:gutter="0" w:header="720" w:top="1440" w:footer="720" w:bottom="1440"/>
          <w:pgNumType w:fmt="decimal"/>
          <w:formProt w:val="false"/>
          <w:textDirection w:val="lrTb"/>
          <w:docGrid w:type="default" w:linePitch="360" w:charSpace="0"/>
        </w:sectPr>
      </w:pPr>
    </w:p>
    <w:p>
      <w:pPr>
        <w:pStyle w:val="Normal"/>
        <w:numPr>
          <w:ilvl w:val="0"/>
          <w:numId w:val="3"/>
        </w:numPr>
        <w:spacing w:before="0" w:after="240"/>
        <w:ind w:firstLine="720" w:start="0" w:end="0"/>
        <w:jc w:val="both"/>
        <w:rPr/>
      </w:pPr>
      <w:r>
        <w:rPr>
          <w:b/>
          <w:i/>
        </w:rPr>
        <w:t>Evaluation Material; Non-Disclosure Obligation and Use Restriction</w:t>
      </w:r>
      <w:r>
        <w:rPr/>
        <w:t>.  The term “Evaluation Material” shall not include information that (i) is already in the possession of the receiving party or its Representatives or becomes subsequently available to the receiving party or its Representatives on a non-confidential basis from a source not known or reasonably suspected by the receiving party or its Representatives to be bound by a confidentiality agreement or secrecy obligation to the disclosing party or (ii) is or becomes generally available to the public other than as a result of a breach of this letter agreement by the receiving party or its Representatives.  Each party recognizes and acknowl</w:t>
        <w:softHyphen/>
        <w:t>edges the potential competitive value of the Evaluation Material and the damage that could result from the disclosure thereof to third parties.  Accordingly, each party agrees that the Evaluation Material will be used solely for the purpose of evaluating a possible Transaction between Buccaneer and ENA, and that such information will be kept strictly confidential by the receiving party; provided, however, that (w) such information may be disclosed by a receiving party to its Representatives who need to know such information for the purpose of evaluating a possible Transaction (it being understood that such Representatives shall be informed of this letter agreement and shall be instructed to treat such information confidentially in accordance with the terms hereof), (x) it shall not constitute a breach of this letter agreement if any disclosure of such information is made with the prior written consent of the disclosing party, (y) it shall not constitute a breach of this letter agreement for the receiving party or its Representatives to disclose such information to the extent that such receiving party believes, based on the advice of outside legal counsel, that it is legally required to disclose such information in order to avoid committing a violation of any law, rule or regulation, including any rules or regulations of any securities association, stock exchange or national securities quotation system, provided that the receiving party provides prompt notice to the other party of the proposed disclosure and takes the other actions required of a party making a required disclosure pursuant to Section 3 below and (z) it shall not constitute a breach of this letter agreement for the receiving party or its Representatives to disclose such information to the extent that such disclosure is permitted pursuant to Section 3 below.  Each party agrees to be responsible for any breach of this letter agreement by any of its Representatives.</w:t>
      </w:r>
    </w:p>
    <w:p>
      <w:pPr>
        <w:pStyle w:val="Normal"/>
        <w:numPr>
          <w:ilvl w:val="0"/>
          <w:numId w:val="3"/>
        </w:numPr>
        <w:spacing w:before="0" w:after="240"/>
        <w:ind w:firstLine="720" w:start="0" w:end="0"/>
        <w:jc w:val="both"/>
        <w:rPr/>
      </w:pPr>
      <w:r>
        <w:rPr>
          <w:b/>
          <w:i/>
        </w:rPr>
        <w:t>Non-Disclosure of Discussions</w:t>
      </w:r>
      <w:r>
        <w:rPr/>
        <w:t>.  Except as provided herein, each party agrees that, without the prior written consent of the other party, such party and its Representatives will not disclose to any other person (other than such party’s Representatives on a need to know basis) the fact that any Evaluation Material has been made available hereunder, that discussions or negotiations are taking place concerning a possible Transaction or any of the terms, conditions or other facts with respect thereto (including the status thereof); provided, that a party may make such disclosure if (i) based on the advice of such party’s outside legal counsel, such disclosure is necessary to avoid committing a violation of, or to insure compliance with, any laws, rules or regulations, including any rules or regulations of any securities association, stock exchange or national securities quotation system and (ii) the party making such disclosure provides prompt notice to the other party of the proposed disclosure and takes the other actions required of a party making a required disclosure pursuant to Section 3 below.  In such event, the party making a disclosure shall use its commercially reasonable efforts to give notice to the other party as far in advance of its disclosure as is reasonably practicable.</w:t>
      </w:r>
    </w:p>
    <w:p>
      <w:pPr>
        <w:pStyle w:val="Normal"/>
        <w:numPr>
          <w:ilvl w:val="0"/>
          <w:numId w:val="3"/>
        </w:numPr>
        <w:spacing w:before="0" w:after="240"/>
        <w:ind w:firstLine="720" w:start="0" w:end="0"/>
        <w:jc w:val="both"/>
        <w:rPr/>
      </w:pPr>
      <w:r>
        <w:rPr>
          <w:b/>
          <w:i/>
        </w:rPr>
        <w:t>Required Disclosure</w:t>
      </w:r>
      <w:r>
        <w:rPr/>
        <w:t>.  In the event that a party or its Representatives are requested or required (by oral questions, interrogatories, requests for information or documents in legal proceedings, subpoena, civil investigative demand or other similar process) to disclose any of the other party’s Evaluation Material or any other facts or information, the disclosure of which is prohibited by this letter agreement, the party requested or required to make the disclosure shall (i) provide the other party with prompt notice of any such request or requirement so that the other party may seek a protective order or other appropriate remedy and/or waive compliance with the provisions of this letter agreement and (ii) consult with the other party as to the advisability of taking legally available steps to resist or narrow such request.  If, in the absence of a protective order or other remedy, or the receipt of a waiver by such other party, the party requested or required to make the disclosure or any of its Representatives should nonetheless, based on the advice of such party’s counsel, disclose the other party’s Evaluation Material and/or the facts or information covered by Section 2, the party requested or required to make the disclosure or its Representative may, without liability hereunder, disclose only that portion of the other party’s Evaluation Material and/or such facts or information that such counsel advises is legally required to be disclosed; provided that the party requested or required to make the disclosure gives the other party written notice of the Evaluation Material and/or such facts or other information to be disclosed as far in advance of its disclosure as is reasonably practicable and exercises its reasonable efforts to preserve the confidentiality of the other party’s Evaluation Material and/ or such facts or other information, including, without limitation, by cooperating with the other party to obtain an appropriate protective order or other reliable assurance that confidential treatment will be accorded to the other party’s Evaluation Material and/or such facts or information.</w:t>
      </w:r>
    </w:p>
    <w:p>
      <w:pPr>
        <w:pStyle w:val="Normal"/>
        <w:numPr>
          <w:ilvl w:val="0"/>
          <w:numId w:val="3"/>
        </w:numPr>
        <w:spacing w:before="0" w:after="240"/>
        <w:ind w:firstLine="720" w:start="0" w:end="0"/>
        <w:jc w:val="both"/>
        <w:rPr/>
      </w:pPr>
      <w:r>
        <w:rPr>
          <w:b/>
          <w:i/>
        </w:rPr>
        <w:t>Termination of Discussions</w:t>
      </w:r>
      <w:r>
        <w:rPr/>
        <w:t>.  If either party decides that it does not wish to proceed with discussions or negotiations relating to a Transaction with the other party, the party so deciding will promptly inform the other party in writing of that decision.  In that case, or at any time upon the request of either disclosing party for any reason, each receiving party will promptly deliver to the disclosing party or, at the option of the receiving party, destroy all written (and electronic) Evaluation Material (and all copies thereof and extracts therefrom) furnished to the receiving party or its Representatives by or on behalf of the disclosing party pursuant hereto.  In the event of such a decision or request, all other Evaluation Material prepared by the receiving party shall be destroyed and no copy thereof shall be retained, and in no event shall either party be obligated to disclose or provide the Evaluation Material prepared by it or its Representatives to the other party.  The destruction of Evaluation Material shall be certified in writing by an authorized officer of such party.  Notwithstanding the termination of any discussions or the return or destruction of the Evaluation Material, each party and its Representatives will continue to be bound by their obligations of confidentiality hereunder for a period of one (1) year from the date hereof.</w:t>
      </w:r>
    </w:p>
    <w:p>
      <w:pPr>
        <w:pStyle w:val="Normal"/>
        <w:numPr>
          <w:ilvl w:val="0"/>
          <w:numId w:val="3"/>
        </w:numPr>
        <w:spacing w:before="0" w:after="240"/>
        <w:ind w:firstLine="720" w:start="0" w:end="0"/>
        <w:jc w:val="both"/>
        <w:rPr/>
      </w:pPr>
      <w:r>
        <w:rPr>
          <w:b/>
          <w:i/>
        </w:rPr>
        <w:t>Miscellaneous</w:t>
      </w:r>
      <w:r>
        <w:rPr/>
        <w:t>.  (a) Each party agrees that unless and until a definitive agreement between the parties with respect to a Transaction has been executed and delivered, neither Buccaneer nor ENA will be under any legal obligation of any kind whatsoever with respect to a Transaction by virtue of this letter agreement or any written or oral expression with respect to such a Transaction.  Each party further agrees that neither party shall have any obligation to furnish Evaluation Material to the other party or to authorize or pursue with the other party any Transaction.  Each party acknowledges and agrees that each reserves the right, in its sole and absolute discretion, to reject any and all proposals and to terminate discussions and negotiations with the other at any time subject to the provisions set forth herein.  It is understood and agreed that no failure or delay by either party in exercising any right, power or privilege hereunder shall operate as a waiver thereof, nor shall any single or partial exercise thereof preclude any other or further exercise thereof or the exercise of any right, power or privilege hereunder.  The agreements set forth in this letter agreement may be modified or waived only by a separate writing between the parties hereto.  Notwithstanding anything herein to the contrary, all of the obligations of the parties hereunder shall (if not sooner terminated) terminate on the first anniversary of the date hereof; provided, however, that no such termination shall relieve a party from liability for any breach by such party of the terms hereof that exists on the date of such termination.</w:t>
      </w:r>
    </w:p>
    <w:p>
      <w:pPr>
        <w:pStyle w:val="Normal"/>
        <w:numPr>
          <w:ilvl w:val="0"/>
          <w:numId w:val="2"/>
        </w:numPr>
        <w:tabs>
          <w:tab w:val="clear" w:pos="720"/>
          <w:tab w:val="left" w:pos="1440" w:leader="none"/>
        </w:tabs>
        <w:spacing w:before="0" w:after="240"/>
        <w:ind w:firstLine="720" w:start="0" w:end="0"/>
        <w:jc w:val="both"/>
        <w:rPr/>
      </w:pPr>
      <w:r>
        <w:rPr/>
        <w:t>Although each disclosing party has endeavored to include in the Evaluation Material information known to it which it believes to be relevant for the purpose of the receiving party’s investigation, each receiving party understands that neither the disclosing party nor any of its Representatives has made or makes any representation or warranty as to the accuracy or completeness of the Evaluation Material.  Each receiving party agrees that neither the disclosing party nor any of its Representatives shall have any liability to the receiving party or any of its Representatives resulting from the use of the Evaluation Material.</w:t>
      </w:r>
    </w:p>
    <w:p>
      <w:pPr>
        <w:pStyle w:val="Normal"/>
        <w:numPr>
          <w:ilvl w:val="0"/>
          <w:numId w:val="2"/>
        </w:numPr>
        <w:tabs>
          <w:tab w:val="clear" w:pos="720"/>
          <w:tab w:val="left" w:pos="1440" w:leader="none"/>
        </w:tabs>
        <w:spacing w:before="0" w:after="240"/>
        <w:ind w:firstLine="720" w:start="0" w:end="0"/>
        <w:jc w:val="both"/>
        <w:rPr/>
      </w:pPr>
      <w:r>
        <w:rPr/>
        <w:t>This letter agreement shall be binding upon the respective successors in interest and assigns of the parties hereto and shall inure to the benefit of, and be enforceable by, the respective successors in interest and assigns of the parties hereto; provided, however, that any assignment of this letter agreement by either party without the prior written consent of the other party shall be null and void and of no force and effect.</w:t>
      </w:r>
    </w:p>
    <w:p>
      <w:pPr>
        <w:pStyle w:val="Normal"/>
        <w:numPr>
          <w:ilvl w:val="0"/>
          <w:numId w:val="2"/>
        </w:numPr>
        <w:tabs>
          <w:tab w:val="clear" w:pos="720"/>
          <w:tab w:val="left" w:pos="1440" w:leader="none"/>
        </w:tabs>
        <w:spacing w:before="0" w:after="240"/>
        <w:ind w:firstLine="720" w:start="0" w:end="0"/>
        <w:jc w:val="both"/>
        <w:rPr/>
      </w:pPr>
      <w:r>
        <w:rPr/>
        <w:t>If any provision of this letter agreement is held by a court of competent jurisdiction in a final, non-appealable judgment to be invalid, illegal or unenforceable, the remainder of the provisions of this letter shall remain in full force and effect and any invalid, illegal or unenforceable provision shall be replaced with a valid, legal or enforceable provision, the effect of which comes as close as possible to that of the invalid, illegal or unenforceable provision.</w:t>
      </w:r>
    </w:p>
    <w:p>
      <w:pPr>
        <w:pStyle w:val="Normal"/>
        <w:numPr>
          <w:ilvl w:val="0"/>
          <w:numId w:val="2"/>
        </w:numPr>
        <w:tabs>
          <w:tab w:val="clear" w:pos="720"/>
          <w:tab w:val="left" w:pos="1440" w:leader="none"/>
        </w:tabs>
        <w:spacing w:before="0" w:after="240"/>
        <w:ind w:firstLine="720" w:start="0" w:end="0"/>
        <w:jc w:val="both"/>
        <w:rPr/>
      </w:pPr>
      <w:r>
        <w:rPr/>
        <w:t>The validity and interpretation of this letter agreement shall be governed by, and construed and enforced in accordance with, the laws of the State of Texas applicable to agreements made and to be fully performed therein (excluding conflicts of law rules).  Each party irrevocably submits to the non-exclusive jurisdiction of any court of the State of Texas or the United States District Court for the State of Texas for the purpose of any suit, action or other proceeding arising out of this agreement, or any of the agreements or transactions contemplated hereby, which is brought by or against such party and (i) hereby irrevocably agrees that all claims in respect of any such suit, action or proceeding may be heard and determined in any such court, and (ii) to the extent that such party has acquired, or hereafter may acquire, any immunity from jurisdiction of any such court or from any legal process therein, such party hereby waives, to the fullest extent permitted by law, such immunity.  Each party hereby waives, and agrees not to assert in any such suit, action or proceeding, in each case, to the fullest extent permitted by applicable law, any claims that (x) such party is not personally subject to the jurisdiction of any such court, (y) such party is immune from any legal process (whether through service or notice, attachment prior to judgment, attachment in aid of execution, execution or otherwise) with respect to such party or its property or (z) any such suit, action or proceeding brought in any such court has been brought in an inconvenient forum.</w:t>
      </w:r>
    </w:p>
    <w:p>
      <w:pPr>
        <w:pStyle w:val="Normal"/>
        <w:numPr>
          <w:ilvl w:val="0"/>
          <w:numId w:val="2"/>
        </w:numPr>
        <w:tabs>
          <w:tab w:val="clear" w:pos="720"/>
          <w:tab w:val="left" w:pos="1440" w:leader="none"/>
        </w:tabs>
        <w:spacing w:before="0" w:after="240"/>
        <w:ind w:firstLine="720" w:start="0" w:end="0"/>
        <w:jc w:val="both"/>
        <w:rPr/>
      </w:pPr>
      <w:r>
        <w:rPr/>
        <w:t xml:space="preserve">This letter agreement may be executed in one or more counterparts.  Each such counterpart shall be deemed to be an original instrument, but all such counterparts taken together shall constitute one and the same agreement.  </w:t>
      </w:r>
    </w:p>
    <w:p>
      <w:pPr>
        <w:pStyle w:val="Normal"/>
        <w:numPr>
          <w:ilvl w:val="0"/>
          <w:numId w:val="3"/>
        </w:numPr>
        <w:tabs>
          <w:tab w:val="clear" w:pos="720"/>
        </w:tabs>
        <w:spacing w:before="0" w:after="240"/>
        <w:ind w:firstLine="720" w:start="0" w:end="0"/>
        <w:jc w:val="both"/>
        <w:rPr/>
      </w:pPr>
      <w:r>
        <w:rPr>
          <w:b/>
          <w:i/>
        </w:rPr>
        <w:t>Injunctive Relief</w:t>
      </w:r>
      <w:r>
        <w:rPr/>
        <w:t>.  It is further understood and agreed that money damages would not be a sufficient remedy for any breach of this letter agreement by either party or any of its Representatives and that the non-breaching party shall be entitled to equitable relief, including injunction and specific performance, as a remedy for any such breach.  Such remedies shall not be deemed to be the exclusive remedies for a breach of this letter agreement, but shall be in addition to all other remedies available at law or equity.</w:t>
      </w:r>
    </w:p>
    <w:p>
      <w:pPr>
        <w:pStyle w:val="Normal"/>
        <w:numPr>
          <w:ilvl w:val="0"/>
          <w:numId w:val="3"/>
        </w:numPr>
        <w:tabs>
          <w:tab w:val="clear" w:pos="720"/>
        </w:tabs>
        <w:ind w:firstLine="720" w:start="0" w:end="0"/>
        <w:jc w:val="both"/>
        <w:rPr/>
      </w:pPr>
      <w:r>
        <w:rPr>
          <w:b/>
          <w:i/>
        </w:rPr>
        <w:t>Notices</w:t>
      </w:r>
      <w:r>
        <w:rPr/>
        <w:t>.</w:t>
      </w:r>
      <w:r>
        <w:rPr>
          <w:b/>
          <w:i/>
        </w:rPr>
        <w:t xml:space="preserve">  </w:t>
      </w:r>
      <w:r>
        <w:rPr/>
        <w:t xml:space="preserve">Notices under this letter agreement shall be in writing and shall be addressed as follows: </w:t>
      </w:r>
    </w:p>
    <w:p>
      <w:pPr>
        <w:pStyle w:val="Normal"/>
        <w:jc w:val="both"/>
        <w:rPr/>
      </w:pPr>
      <w:r>
        <w:rPr/>
      </w:r>
    </w:p>
    <w:p>
      <w:pPr>
        <w:pStyle w:val="Normal"/>
        <w:ind w:start="720" w:end="0"/>
        <w:jc w:val="both"/>
        <w:rPr>
          <w:b/>
        </w:rPr>
      </w:pPr>
      <w:r>
        <w:rPr/>
        <w:t>If to Buccaneer:</w:t>
      </w:r>
    </w:p>
    <w:p>
      <w:pPr>
        <w:pStyle w:val="Normal"/>
        <w:ind w:start="720" w:end="0"/>
        <w:jc w:val="both"/>
        <w:rPr/>
      </w:pPr>
      <w:r>
        <w:rPr/>
        <w:tab/>
        <w:t>Buccaneer Gas Pipeline Company, L.L.C.</w:t>
      </w:r>
    </w:p>
    <w:p>
      <w:pPr>
        <w:pStyle w:val="Normal"/>
        <w:ind w:start="720" w:end="0"/>
        <w:jc w:val="both"/>
        <w:rPr/>
      </w:pPr>
      <w:r>
        <w:rPr/>
        <w:tab/>
        <w:t>2800 Post Oak Blvd.</w:t>
      </w:r>
    </w:p>
    <w:p>
      <w:pPr>
        <w:pStyle w:val="Normal"/>
        <w:ind w:start="720" w:end="0"/>
        <w:jc w:val="both"/>
        <w:rPr/>
      </w:pPr>
      <w:r>
        <w:rPr/>
        <w:tab/>
        <w:t>Houston, TX 77056</w:t>
      </w:r>
    </w:p>
    <w:p>
      <w:pPr>
        <w:pStyle w:val="Normal"/>
        <w:ind w:start="720" w:end="0"/>
        <w:jc w:val="both"/>
        <w:rPr/>
      </w:pPr>
      <w:r>
        <w:rPr/>
        <w:tab/>
        <w:t>Attention:  Frank J. Ferazzi, Senior Vice President</w:t>
      </w:r>
    </w:p>
    <w:p>
      <w:pPr>
        <w:pStyle w:val="Normal"/>
        <w:ind w:start="720" w:end="0"/>
        <w:jc w:val="both"/>
        <w:rPr/>
      </w:pPr>
      <w:r>
        <w:rPr/>
        <w:tab/>
        <w:t>Fax:</w:t>
        <w:tab/>
        <w:t>(713) 215-4269</w:t>
      </w:r>
    </w:p>
    <w:p>
      <w:pPr>
        <w:pStyle w:val="Normal"/>
        <w:ind w:start="720" w:end="0"/>
        <w:jc w:val="both"/>
        <w:rPr/>
      </w:pPr>
      <w:r>
        <w:rPr/>
      </w:r>
    </w:p>
    <w:p>
      <w:pPr>
        <w:pStyle w:val="Normal"/>
        <w:ind w:start="720" w:end="0"/>
        <w:jc w:val="both"/>
        <w:rPr/>
      </w:pPr>
      <w:r>
        <w:rPr/>
        <w:t>If to ENA:</w:t>
      </w:r>
    </w:p>
    <w:p>
      <w:pPr>
        <w:pStyle w:val="Normal"/>
        <w:rPr/>
      </w:pPr>
      <w:r>
        <w:rPr/>
        <w:tab/>
        <w:tab/>
        <w:t>Enron North America Corp.</w:t>
      </w:r>
    </w:p>
    <w:p>
      <w:pPr>
        <w:pStyle w:val="Normal"/>
        <w:ind w:firstLine="720" w:start="720" w:end="0"/>
        <w:rPr/>
      </w:pPr>
      <w:r>
        <w:rPr/>
        <w:t>_________________________</w:t>
      </w:r>
    </w:p>
    <w:p>
      <w:pPr>
        <w:pStyle w:val="Normal"/>
        <w:ind w:firstLine="720" w:start="720" w:end="0"/>
        <w:rPr/>
      </w:pPr>
      <w:r>
        <w:rPr/>
        <w:t>_________________________</w:t>
      </w:r>
    </w:p>
    <w:p>
      <w:pPr>
        <w:pStyle w:val="Normal"/>
        <w:ind w:firstLine="720" w:start="720" w:end="0"/>
        <w:rPr/>
      </w:pPr>
      <w:r>
        <w:rPr/>
        <w:t>_________________________</w:t>
      </w:r>
    </w:p>
    <w:p>
      <w:pPr>
        <w:pStyle w:val="Normal"/>
        <w:ind w:firstLine="720" w:start="720" w:end="0"/>
        <w:jc w:val="both"/>
        <w:rPr/>
      </w:pPr>
      <w:r>
        <w:rPr/>
        <w:t>Fax:</w:t>
        <w:tab/>
      </w:r>
    </w:p>
    <w:p>
      <w:pPr>
        <w:pStyle w:val="Normal"/>
        <w:jc w:val="both"/>
        <w:rPr/>
      </w:pPr>
      <w:r>
        <w:rPr/>
      </w:r>
    </w:p>
    <w:p>
      <w:pPr>
        <w:sectPr>
          <w:type w:val="continuous"/>
          <w:pgSz w:w="12240" w:h="15840"/>
          <w:pgMar w:left="1440" w:right="1440" w:gutter="0" w:header="720" w:top="1440" w:footer="720" w:bottom="1440"/>
          <w:formProt w:val="false"/>
          <w:textDirection w:val="lrTb"/>
          <w:docGrid w:type="default" w:linePitch="360" w:charSpace="0"/>
        </w:sectPr>
        <w:pStyle w:val="Normal"/>
        <w:jc w:val="both"/>
        <w:rPr/>
      </w:pPr>
      <w:r>
        <w:rPr/>
        <w:t>Notices may be given by hand, electronic transmission, mail or courier.  Notices shall be deemed given upon the date the notice is sent.  Either party may change its address or telecopy number for notices hereunder by providing written notice of such change to the other party.</w:t>
      </w:r>
      <w:r>
        <w:br w:type="page"/>
      </w:r>
    </w:p>
    <w:p>
      <w:pPr>
        <w:pStyle w:val="Normal"/>
        <w:jc w:val="both"/>
        <w:rPr/>
      </w:pPr>
      <w:r>
        <w:rPr/>
      </w:r>
    </w:p>
    <w:p>
      <w:pPr>
        <w:pStyle w:val="BodyTextIndent"/>
        <w:keepNext w:val="true"/>
        <w:spacing w:before="0" w:after="240"/>
        <w:ind w:hanging="0" w:end="0"/>
        <w:jc w:val="both"/>
        <w:rPr>
          <w:sz w:val="24"/>
        </w:rPr>
      </w:pPr>
      <w:r>
        <w:rPr>
          <w:sz w:val="24"/>
        </w:rPr>
        <w:tab/>
        <w:t>Please confirm your agreement with the foregoing by signing and returning one copy of this letter agreement to the undersigned.</w:t>
      </w:r>
    </w:p>
    <w:p>
      <w:pPr>
        <w:pStyle w:val="BodyTextIndent"/>
        <w:keepNext w:val="true"/>
        <w:spacing w:before="0" w:after="0"/>
        <w:ind w:hanging="0" w:end="0"/>
        <w:jc w:val="both"/>
        <w:rPr>
          <w:sz w:val="24"/>
        </w:rPr>
      </w:pPr>
      <w:r>
        <w:rPr>
          <w:sz w:val="24"/>
        </w:rPr>
        <w:tab/>
        <w:tab/>
        <w:tab/>
        <w:tab/>
        <w:tab/>
        <w:tab/>
        <w:t>Very truly yours,</w:t>
      </w:r>
    </w:p>
    <w:p>
      <w:pPr>
        <w:pStyle w:val="BodyTextIndent"/>
        <w:keepNext w:val="true"/>
        <w:spacing w:before="0" w:after="0"/>
        <w:ind w:start="3600" w:end="0"/>
        <w:jc w:val="both"/>
        <w:rPr>
          <w:sz w:val="24"/>
        </w:rPr>
      </w:pPr>
      <w:r>
        <w:rPr>
          <w:sz w:val="24"/>
        </w:rPr>
      </w:r>
    </w:p>
    <w:p>
      <w:pPr>
        <w:pStyle w:val="BodyTextIndent"/>
        <w:keepNext w:val="true"/>
        <w:spacing w:before="0" w:after="0"/>
        <w:ind w:hanging="0" w:start="4320" w:end="0"/>
        <w:jc w:val="both"/>
        <w:rPr>
          <w:sz w:val="24"/>
        </w:rPr>
      </w:pPr>
      <w:r>
        <w:rPr>
          <w:sz w:val="24"/>
        </w:rPr>
        <w:t>BUCCANEER GAS PIPELINE</w:t>
      </w:r>
    </w:p>
    <w:p>
      <w:pPr>
        <w:pStyle w:val="BodyTextIndent"/>
        <w:keepNext w:val="true"/>
        <w:spacing w:before="0" w:after="0"/>
        <w:ind w:hanging="0" w:start="4320" w:end="0"/>
        <w:jc w:val="both"/>
        <w:rPr>
          <w:caps/>
          <w:sz w:val="24"/>
        </w:rPr>
      </w:pPr>
      <w:r>
        <w:rPr>
          <w:sz w:val="24"/>
        </w:rPr>
        <w:t xml:space="preserve">      </w:t>
      </w:r>
      <w:r>
        <w:rPr>
          <w:sz w:val="24"/>
        </w:rPr>
        <w:t>COMPANY, L.L.C.</w:t>
      </w:r>
    </w:p>
    <w:p>
      <w:pPr>
        <w:pStyle w:val="BodyTextIndent"/>
        <w:keepNext w:val="true"/>
        <w:spacing w:before="0" w:after="0"/>
        <w:ind w:hanging="0" w:end="0"/>
        <w:jc w:val="both"/>
        <w:rPr>
          <w:caps/>
          <w:sz w:val="24"/>
        </w:rPr>
      </w:pPr>
      <w:r>
        <w:rPr>
          <w:caps/>
          <w:sz w:val="24"/>
        </w:rPr>
      </w:r>
    </w:p>
    <w:p>
      <w:pPr>
        <w:pStyle w:val="BodyTextIndent"/>
        <w:keepNext w:val="true"/>
        <w:spacing w:before="0" w:after="0"/>
        <w:ind w:firstLine="2880" w:start="1440" w:end="0"/>
        <w:jc w:val="both"/>
        <w:rPr>
          <w:caps/>
          <w:sz w:val="24"/>
        </w:rPr>
      </w:pPr>
      <w:r>
        <w:rPr>
          <w:caps/>
          <w:sz w:val="24"/>
        </w:rPr>
      </w:r>
    </w:p>
    <w:p>
      <w:pPr>
        <w:pStyle w:val="BodyTextIndent"/>
        <w:keepNext w:val="true"/>
        <w:tabs>
          <w:tab w:val="clear" w:pos="720"/>
          <w:tab w:val="left" w:pos="4680" w:leader="none"/>
        </w:tabs>
        <w:spacing w:before="0" w:after="0"/>
        <w:ind w:firstLine="2880" w:start="1440" w:end="0"/>
        <w:jc w:val="both"/>
        <w:rPr>
          <w:sz w:val="24"/>
        </w:rPr>
      </w:pPr>
      <w:r>
        <w:rPr>
          <w:sz w:val="24"/>
        </w:rPr>
        <w:t>By:</w:t>
        <w:tab/>
        <w:t>____________________________________</w:t>
      </w:r>
    </w:p>
    <w:p>
      <w:pPr>
        <w:pStyle w:val="BodyTextIndent"/>
        <w:keepNext w:val="true"/>
        <w:tabs>
          <w:tab w:val="clear" w:pos="720"/>
          <w:tab w:val="left" w:pos="4680" w:leader="none"/>
        </w:tabs>
        <w:spacing w:before="0" w:after="0"/>
        <w:ind w:firstLine="2880" w:start="1440" w:end="0"/>
        <w:jc w:val="both"/>
        <w:rPr>
          <w:sz w:val="24"/>
        </w:rPr>
      </w:pPr>
      <w:r>
        <w:rPr>
          <w:sz w:val="24"/>
        </w:rPr>
        <w:tab/>
        <w:t>Frank J. Ferazzi</w:t>
      </w:r>
    </w:p>
    <w:p>
      <w:pPr>
        <w:pStyle w:val="BodyTextIndent"/>
        <w:keepNext w:val="true"/>
        <w:tabs>
          <w:tab w:val="clear" w:pos="720"/>
          <w:tab w:val="left" w:pos="4680" w:leader="none"/>
        </w:tabs>
        <w:spacing w:before="0" w:after="0"/>
        <w:ind w:firstLine="2880" w:start="1440" w:end="0"/>
        <w:jc w:val="both"/>
        <w:rPr>
          <w:sz w:val="24"/>
        </w:rPr>
      </w:pPr>
      <w:r>
        <w:rPr>
          <w:sz w:val="24"/>
        </w:rPr>
        <w:tab/>
        <w:t>Senior Vice President</w:t>
      </w:r>
    </w:p>
    <w:p>
      <w:pPr>
        <w:pStyle w:val="BodyTextIndent"/>
        <w:keepNext w:val="true"/>
        <w:spacing w:before="0" w:after="0"/>
        <w:ind w:start="3600" w:end="0"/>
        <w:rPr>
          <w:sz w:val="24"/>
        </w:rPr>
      </w:pPr>
      <w:r>
        <w:rPr>
          <w:sz w:val="24"/>
        </w:rPr>
      </w:r>
    </w:p>
    <w:p>
      <w:pPr>
        <w:pStyle w:val="BodyTextIndent"/>
        <w:keepNext w:val="true"/>
        <w:spacing w:before="0" w:after="0"/>
        <w:ind w:start="3600" w:end="0"/>
        <w:rPr>
          <w:sz w:val="24"/>
        </w:rPr>
      </w:pPr>
      <w:r>
        <w:rPr>
          <w:sz w:val="24"/>
        </w:rPr>
      </w:r>
    </w:p>
    <w:p>
      <w:pPr>
        <w:pStyle w:val="BodyTextIndent"/>
        <w:keepNext w:val="true"/>
        <w:spacing w:before="0" w:after="0"/>
        <w:ind w:start="4050" w:end="0"/>
        <w:rPr>
          <w:sz w:val="24"/>
          <w:u w:val="single"/>
        </w:rPr>
      </w:pPr>
      <w:r>
        <w:rPr>
          <w:sz w:val="24"/>
          <w:u w:val="single"/>
        </w:rPr>
      </w:r>
    </w:p>
    <w:p>
      <w:pPr>
        <w:pStyle w:val="BodyTextIndent"/>
        <w:spacing w:before="0" w:after="0"/>
        <w:ind w:hanging="0" w:end="0"/>
        <w:jc w:val="both"/>
        <w:rPr>
          <w:sz w:val="24"/>
        </w:rPr>
      </w:pPr>
      <w:r>
        <w:rPr>
          <w:sz w:val="24"/>
        </w:rPr>
        <w:t>ACCEPTED AND AGREED as of</w:t>
      </w:r>
    </w:p>
    <w:p>
      <w:pPr>
        <w:pStyle w:val="BodyTextIndent"/>
        <w:spacing w:before="0" w:after="0"/>
        <w:ind w:hanging="0" w:end="0"/>
        <w:jc w:val="both"/>
        <w:rPr>
          <w:sz w:val="24"/>
        </w:rPr>
      </w:pPr>
      <w:r>
        <w:rPr>
          <w:sz w:val="24"/>
        </w:rPr>
        <w:t>the date first written above:</w:t>
      </w:r>
    </w:p>
    <w:p>
      <w:pPr>
        <w:pStyle w:val="BodyTextIndent"/>
        <w:spacing w:before="0" w:after="0"/>
        <w:ind w:hanging="0" w:end="0"/>
        <w:jc w:val="both"/>
        <w:rPr>
          <w:sz w:val="24"/>
        </w:rPr>
      </w:pPr>
      <w:r>
        <w:rPr>
          <w:sz w:val="24"/>
        </w:rPr>
      </w:r>
    </w:p>
    <w:p>
      <w:pPr>
        <w:pStyle w:val="BodyTextIndent"/>
        <w:spacing w:before="0" w:after="0"/>
        <w:ind w:hanging="0" w:end="0"/>
        <w:jc w:val="both"/>
        <w:rPr>
          <w:sz w:val="24"/>
        </w:rPr>
      </w:pPr>
      <w:r>
        <w:rPr/>
        <w:t>ENRON NORTH AMERICA CORP.</w:t>
      </w:r>
    </w:p>
    <w:p>
      <w:pPr>
        <w:pStyle w:val="BodyTextIndent"/>
        <w:spacing w:before="0" w:after="0"/>
        <w:ind w:hanging="0" w:end="0"/>
        <w:jc w:val="both"/>
        <w:rPr>
          <w:sz w:val="24"/>
        </w:rPr>
      </w:pPr>
      <w:r>
        <w:rPr>
          <w:sz w:val="24"/>
        </w:rPr>
      </w:r>
    </w:p>
    <w:p>
      <w:pPr>
        <w:pStyle w:val="BodyTextIndent"/>
        <w:spacing w:before="300" w:after="0"/>
        <w:ind w:hanging="0" w:end="0"/>
        <w:jc w:val="both"/>
        <w:rPr/>
      </w:pPr>
      <w:r>
        <w:rPr>
          <w:sz w:val="24"/>
        </w:rPr>
        <w:t>By:</w:t>
      </w:r>
      <w:r>
        <w:rPr>
          <w:sz w:val="24"/>
          <w:u w:val="single"/>
        </w:rPr>
        <w:tab/>
        <w:tab/>
        <w:tab/>
        <w:tab/>
        <w:tab/>
        <w:tab/>
      </w:r>
    </w:p>
    <w:p>
      <w:pPr>
        <w:pStyle w:val="BodyTextIndent"/>
        <w:spacing w:before="300" w:after="0"/>
        <w:ind w:hanging="0" w:end="0"/>
        <w:jc w:val="both"/>
        <w:rPr/>
      </w:pPr>
      <w:r>
        <w:rPr>
          <w:sz w:val="24"/>
        </w:rPr>
        <w:t>Name:</w:t>
      </w:r>
      <w:r>
        <w:rPr>
          <w:sz w:val="24"/>
          <w:u w:val="single"/>
        </w:rPr>
        <w:tab/>
        <w:tab/>
        <w:tab/>
        <w:tab/>
        <w:tab/>
        <w:tab/>
      </w:r>
    </w:p>
    <w:p>
      <w:pPr>
        <w:pStyle w:val="BodyTextIndent"/>
        <w:spacing w:before="300" w:after="0"/>
        <w:ind w:hanging="0" w:end="0"/>
        <w:jc w:val="both"/>
        <w:rPr>
          <w:sz w:val="24"/>
          <w:vertAlign w:val="superscript"/>
        </w:rPr>
      </w:pPr>
      <w:r>
        <w:rPr>
          <w:sz w:val="24"/>
        </w:rPr>
        <w:t>Title:</w:t>
      </w:r>
      <w:r>
        <w:rPr>
          <w:sz w:val="24"/>
          <w:u w:val="single"/>
        </w:rPr>
        <w:tab/>
        <w:tab/>
        <w:tab/>
        <w:tab/>
        <w:tab/>
        <w:tab/>
      </w:r>
    </w:p>
    <w:p>
      <w:pPr>
        <w:pStyle w:val="BodyTextIndent"/>
        <w:spacing w:before="0" w:after="0"/>
        <w:ind w:hanging="0" w:end="0"/>
        <w:jc w:val="both"/>
        <w:rPr>
          <w:sz w:val="16"/>
          <w:vertAlign w:val="superscript"/>
        </w:rPr>
      </w:pPr>
      <w:r>
        <w:rPr>
          <w:sz w:val="16"/>
          <w:vertAlign w:val="superscript"/>
        </w:rPr>
      </w:r>
    </w:p>
    <w:p>
      <w:pPr>
        <w:pStyle w:val="Normal"/>
        <w:rPr>
          <w:sz w:val="16"/>
          <w:vertAlign w:val="superscript"/>
        </w:rPr>
      </w:pPr>
      <w:r>
        <w:rPr>
          <w:sz w:val="16"/>
          <w:vertAlign w:val="superscript"/>
        </w:rPr>
      </w:r>
    </w:p>
    <w:sectPr>
      <w:headerReference w:type="default" r:id="rId6"/>
      <w:footerReference w:type="default" r:id="rId7"/>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Narrow" w:hAnsi="Arial Narrow" w:cs="Arial Narrow"/>
        <w:sz w:val="16"/>
        <w:lang w:eastAsia="en-US"/>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/mnt/main-storage/datasets/enron-docs/doc/Enron_conf_agmt.doc</w:t>
    </w:r>
    <w:r>
      <w:rPr>
        <w:sz w:val="16"/>
        <w:rFonts w:cs="Arial Narrow" w:ascii="Arial Narrow" w:hAnsi="Arial Narrow"/>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Narrow" w:hAnsi="Arial Narrow" w:cs="Arial Narrow"/>
        <w:sz w:val="16"/>
        <w:lang w:eastAsia="en-US"/>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/mnt/main-storage/datasets/enron-docs/doc/Enron_conf_agmt.doc</w:t>
    </w:r>
    <w:r>
      <w:rPr>
        <w:sz w:val="16"/>
        <w:rFonts w:cs="Arial Narrow" w:ascii="Arial Narrow" w:hAnsi="Arial Narrow"/>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Enron North America Corp.</w:t>
    </w:r>
  </w:p>
  <w:p>
    <w:pPr>
      <w:pStyle w:val="Header"/>
      <w:rPr/>
    </w:pPr>
    <w:r>
      <w:rPr/>
      <w:t>November 14,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Header"/>
      <w:rPr>
        <w:rStyle w:val="PageNumber"/>
      </w:rPr>
    </w:pPr>
    <w:r>
      <w:rPr/>
    </w:r>
  </w:p>
  <w:p>
    <w:pPr>
      <w:pStyle w:val="Header"/>
      <w:rPr>
        <w:rStyle w:val="PageNumb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720"/>
        </w:tabs>
        <w:ind w:start="720" w:hanging="720"/>
      </w:pPr>
    </w:lvl>
  </w:abstractNum>
  <w:abstractNum w:abstractNumId="3">
    <w:lvl w:ilvl="0">
      <w:start w:val="1"/>
      <w:numFmt w:val="decimal"/>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i/>
    </w:rPr>
  </w:style>
  <w:style w:type="paragraph" w:styleId="Heading2">
    <w:name w:val="heading 2"/>
    <w:basedOn w:val="Normal"/>
    <w:next w:val="Normal"/>
    <w:qFormat/>
    <w:pPr>
      <w:keepNext w:val="true"/>
      <w:numPr>
        <w:ilvl w:val="1"/>
        <w:numId w:val="1"/>
      </w:numPr>
      <w:spacing w:before="240" w:after="0"/>
      <w:ind w:firstLine="720" w:start="0" w:end="0"/>
      <w:outlineLvl w:val="1"/>
    </w:pPr>
    <w:rPr>
      <w:b/>
      <w:i/>
      <w:sz w:val="22"/>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240" w:after="0"/>
      <w:ind w:firstLine="720" w:start="0" w:end="0"/>
    </w:pPr>
    <w:rPr>
      <w:sz w:val="22"/>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2000-11-14T19:54:00Z</dcterms:created>
  <dc:creator>Sue Dunsmore</dc:creator>
  <dc:description/>
  <dc:language>en-CA</dc:language>
  <cp:lastModifiedBy>Mksajxr</cp:lastModifiedBy>
  <cp:lastPrinted>2000-11-14T11:10:00Z</cp:lastPrinted>
  <dcterms:modified xsi:type="dcterms:W3CDTF">2000-11-14T19:54:00Z</dcterms:modified>
  <cp:revision>2</cp:revision>
  <dc:subject/>
  <dc:title>[Duke Letterhead]</dc:title>
</cp:coreProperties>
</file>