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r>
        <w:rPr>
          <w:b/>
          <w:color w:val="000000"/>
        </w:rPr>
        <w:t>225 CMR 14.00</w:t>
      </w:r>
    </w:p>
    <w:p>
      <w:pPr>
        <w:pStyle w:val="Normal"/>
        <w:jc w:val="both"/>
        <w:rPr>
          <w:b/>
          <w:color w:val="000000"/>
        </w:rPr>
      </w:pPr>
      <w:r>
        <w:rPr>
          <w:b/>
          <w:color w:val="000000"/>
        </w:rPr>
      </w:r>
    </w:p>
    <w:p>
      <w:pPr>
        <w:pStyle w:val="Heading1"/>
        <w:rPr/>
      </w:pPr>
      <w:r>
        <w:rPr/>
        <w:t xml:space="preserve">RENEWABLE ENERGY          §  </w:t>
        <w:tab/>
        <w:t>BEFORE THE COMMONWEALTH</w:t>
      </w:r>
    </w:p>
    <w:p>
      <w:pPr>
        <w:pStyle w:val="Heading2"/>
        <w:rPr/>
      </w:pPr>
      <w:r>
        <w:rPr/>
        <w:t xml:space="preserve">PORTFOLIO STANDARDS     § </w:t>
        <w:tab/>
        <w:t>OF MASSACHUSETTS</w:t>
      </w:r>
    </w:p>
    <w:p>
      <w:pPr>
        <w:pStyle w:val="Heading3"/>
        <w:ind w:hanging="720" w:end="0"/>
        <w:rPr/>
      </w:pPr>
      <w:r>
        <w:rPr/>
        <w:t xml:space="preserve"> </w:t>
      </w:r>
      <w:r>
        <w:rPr/>
        <w:t xml:space="preserve">§ </w:t>
        <w:tab/>
        <w:t xml:space="preserve">OFFICE OF CONSUMER AFFAIRS AND </w:t>
      </w:r>
    </w:p>
    <w:p>
      <w:pPr>
        <w:pStyle w:val="Heading3"/>
        <w:ind w:hanging="720" w:end="0"/>
        <w:rPr/>
      </w:pPr>
      <w:r>
        <w:rPr/>
        <w:t xml:space="preserve"> </w:t>
      </w:r>
      <w:r>
        <w:rPr/>
        <w:t>§</w:t>
        <w:tab/>
        <w:t>BUSINESS REGULATION</w:t>
      </w:r>
    </w:p>
    <w:p>
      <w:pPr>
        <w:pStyle w:val="Normal"/>
        <w:tabs>
          <w:tab w:val="clear" w:pos="720"/>
          <w:tab w:val="left" w:pos="-1440" w:leader="none"/>
        </w:tabs>
        <w:ind w:hanging="720" w:start="3960" w:end="0"/>
        <w:jc w:val="both"/>
        <w:rPr/>
      </w:pPr>
      <w:r>
        <w:rPr/>
        <w:t xml:space="preserve"> </w:t>
      </w:r>
      <w:r>
        <w:rPr>
          <w:b/>
          <w:bCs/>
        </w:rPr>
        <w:t xml:space="preserve">§ </w:t>
      </w:r>
      <w:r>
        <w:rPr/>
        <w:tab/>
      </w:r>
      <w:r>
        <w:rPr>
          <w:b/>
          <w:color w:val="000000"/>
        </w:rPr>
        <w:t>DIVISION OF ENERGY RESOURCES</w:t>
      </w:r>
    </w:p>
    <w:p>
      <w:pPr>
        <w:pStyle w:val="Normal"/>
        <w:jc w:val="both"/>
        <w:rPr>
          <w:b/>
          <w:color w:val="000000"/>
        </w:rPr>
      </w:pPr>
      <w:r>
        <w:rPr>
          <w:b/>
          <w:color w:val="000000"/>
        </w:rPr>
      </w:r>
    </w:p>
    <w:p>
      <w:pPr>
        <w:pStyle w:val="Heading4"/>
        <w:ind w:hanging="0" w:start="0"/>
        <w:rPr/>
      </w:pPr>
      <w:r>
        <w:rPr/>
        <w:t>COMMENTS OF ENRON CORP</w:t>
      </w:r>
    </w:p>
    <w:p>
      <w:pPr>
        <w:pStyle w:val="Normal"/>
        <w:jc w:val="both"/>
        <w:rPr>
          <w:color w:val="000000"/>
        </w:rPr>
      </w:pPr>
      <w:r>
        <w:rPr>
          <w:color w:val="000000"/>
        </w:rPr>
      </w:r>
    </w:p>
    <w:p>
      <w:pPr>
        <w:pStyle w:val="Normal"/>
        <w:jc w:val="both"/>
        <w:rPr>
          <w:color w:val="000000"/>
        </w:rPr>
      </w:pPr>
      <w:r>
        <w:rPr>
          <w:color w:val="000000"/>
        </w:rPr>
        <w:t>TO THE HONORABLE DAVID O’CONNOR:</w:t>
      </w:r>
    </w:p>
    <w:p>
      <w:pPr>
        <w:pStyle w:val="Normal"/>
        <w:jc w:val="both"/>
        <w:rPr>
          <w:color w:val="000000"/>
        </w:rPr>
      </w:pPr>
      <w:r>
        <w:rPr>
          <w:color w:val="000000"/>
        </w:rPr>
      </w:r>
    </w:p>
    <w:p>
      <w:pPr>
        <w:pStyle w:val="Normal"/>
        <w:rPr/>
      </w:pPr>
      <w:r>
        <w:rPr/>
        <w:t>Enron would like to commend the Division for their thoughtful analysis of the issues surrounding the implementation of the Renewable Portfolio Standard “RPS”, and would once again like to thank the Division and Staff for the opportunity to serve on the RPS advisory committee.  Overall we are pleased with the Draft Rules.   Below are comments on the questions for which you sought feedback followed by a few additional observations and suggestions.</w:t>
      </w:r>
    </w:p>
    <w:p>
      <w:pPr>
        <w:pStyle w:val="Normal"/>
        <w:rPr/>
      </w:pPr>
      <w:r>
        <w:rPr/>
      </w:r>
    </w:p>
    <w:p>
      <w:pPr>
        <w:pStyle w:val="Normal"/>
        <w:rPr/>
      </w:pPr>
      <w:r>
        <w:rPr/>
        <w:t xml:space="preserve">F-1: We agree with the Division’s proposal to deal with biomass technologies on a case-by-case review </w:t>
      </w:r>
      <w:r>
        <w:rPr>
          <w:b/>
          <w:bCs/>
          <w:i/>
          <w:iCs/>
        </w:rPr>
        <w:t>if</w:t>
      </w:r>
      <w:r>
        <w:rPr/>
        <w:t xml:space="preserve"> it is unclear whether the facility meets eligibility according to the definition in the rule.  However, in light of the Generation Information System “GIS” Administrator registering all generators in New England, we encourage the Division to expedite the process by coordinating the information needed with the GIS Administrator.  A 60-day maximum review should be adequate for new generation coming on line in 2003 and beyond.  This will help suppliers be able to gauge whether the generator is eligible without going nearly an entire quarter.  We further encourage the Commission to review current biomass facilities that could be eligible throughout New England prior to the inception of the MA RPS.  This review would aid suppliers in their compliance.</w:t>
      </w:r>
    </w:p>
    <w:p>
      <w:pPr>
        <w:pStyle w:val="Normal"/>
        <w:rPr/>
      </w:pPr>
      <w:r>
        <w:rPr/>
      </w:r>
    </w:p>
    <w:p>
      <w:pPr>
        <w:pStyle w:val="Normal"/>
        <w:rPr/>
      </w:pPr>
      <w:r>
        <w:rPr/>
        <w:t>F-2: While we understand the Division’s proposal to use NePool Market rules and procedures for importing generation, we encourage the Division to consider Renewable Energy Certificate “REC” transactions within the New England Regional Transmission Organization “NE RTO” region.  The NePool appear to require that power associated with the renewable attributes must be wheeled to the NePool boarder.  Given the NE RTO proceeding, we believe this requirement is not necessary to show compliance with the MA RPS, and could add to the overall cost of compliance.  For example, suppliers could purchase wind RECs from NY and couple that with generic system power to meet both their load and RPS obligations in MA.</w:t>
      </w:r>
    </w:p>
    <w:p>
      <w:pPr>
        <w:pStyle w:val="Normal"/>
        <w:rPr/>
      </w:pPr>
      <w:r>
        <w:rPr/>
      </w:r>
    </w:p>
    <w:p>
      <w:pPr>
        <w:pStyle w:val="Normal"/>
        <w:rPr/>
      </w:pPr>
      <w:r>
        <w:rPr/>
        <w:t>F-3: We commend the Division for including alternative compliance mechanisms within the Draft Rules and believe the alternative compliance plan offers an alternative if the renewable price goes above $50 per megawatt hour “MWh”.  The Division might want to reserve the right, however, to reconsider the flat $50 fee if the market should come close or fall dramatically below that price.   A set percentage (e.g. 20%) above the market price for new renewables, which floats with the market, should be considered.</w:t>
      </w:r>
    </w:p>
    <w:p>
      <w:pPr>
        <w:pStyle w:val="Normal"/>
        <w:rPr/>
      </w:pPr>
      <w:r>
        <w:rPr/>
      </w:r>
    </w:p>
    <w:p>
      <w:pPr>
        <w:pStyle w:val="Normal"/>
        <w:rPr/>
      </w:pPr>
      <w:r>
        <w:rPr/>
        <w:t>F-4: We agree with the Division that creating a MA only REC program (in addition to the NE GIS) would be redundant, costly and potentially confusing.</w:t>
      </w:r>
    </w:p>
    <w:p>
      <w:pPr>
        <w:pStyle w:val="Normal"/>
        <w:rPr/>
      </w:pPr>
      <w:r>
        <w:rPr/>
      </w:r>
    </w:p>
    <w:p>
      <w:pPr>
        <w:pStyle w:val="Normal"/>
        <w:rPr/>
      </w:pPr>
      <w:r>
        <w:rPr/>
        <w:t>F-5: We agree with the Division’s recommendation to require compliance on a product level.  This ensures that all Massachusetts customers will receive some portion of renewable energy in their mix and prevents suppliers from marketing their RPS compliance as a 100% renewable product.</w:t>
      </w:r>
    </w:p>
    <w:p>
      <w:pPr>
        <w:pStyle w:val="Normal"/>
        <w:rPr/>
      </w:pPr>
      <w:r>
        <w:rPr/>
      </w:r>
    </w:p>
    <w:p>
      <w:pPr>
        <w:pStyle w:val="Normal"/>
        <w:rPr/>
      </w:pPr>
      <w:r>
        <w:rPr/>
        <w:t xml:space="preserve">F-6:  We agree with the Division’s recommendation that early compliance in 2002 should be credited toward the supplier’s obligation in 2003.  </w:t>
      </w:r>
    </w:p>
    <w:p>
      <w:pPr>
        <w:pStyle w:val="Normal"/>
        <w:rPr/>
      </w:pPr>
      <w:r>
        <w:rPr/>
      </w:r>
    </w:p>
    <w:p>
      <w:pPr>
        <w:pStyle w:val="Normal"/>
        <w:rPr/>
      </w:pPr>
      <w:r>
        <w:rPr/>
        <w:t>F-7:  While we are very pleased with the Division’s inclusion of banking, we are concerned by its strict limitations.  We can understand the need for safeguards; however, the limits of banking forward for two compliance periods in addition to: (1) the 30% limitation; and (2) the lack of ability to transfer, trade and sell RECs once they are banked are overly prohibitive.  A preferred alternative would be to shorten the time in which the banking could be allowed (i.e. one compliance period) with no limitations on the amount or fungibility of the bank.   If a supplier is limited to 30%, this could act as a disincentive to purchase new wind – an intermittent resource.  Wind is obviously subject to seasonality and wind patterns.  If a particular year had much less wind than predicted, suppliers that are purchasing wind might end up short of what they need.  We encourage the Division to lift this restriction.   Further, limiting the transferability of the bank limits liquidity. We understand the Division’s concern regarding transferable banking and potential market power issues, however, the GIS administrator is tasked with closely monitoring potential market power issues.  We would prefer that the renewable energy credit market be allowed to operate as indicated above from the RPS inception. However, if it is determined that market power issues exist resulting from these flexibility mechanisms then appropriate changes to the market should be implemented.  One intervention, as mentioned above, would be to float the cap at a set percentage above market for the alternative compliance plan.  Generally, however, Enron’s experience has been that markets are self-correcting and operate best with a fewer restrictions.</w:t>
      </w:r>
    </w:p>
    <w:p>
      <w:pPr>
        <w:pStyle w:val="Normal"/>
        <w:rPr/>
      </w:pPr>
      <w:r>
        <w:rPr/>
      </w:r>
    </w:p>
    <w:p>
      <w:pPr>
        <w:pStyle w:val="Normal"/>
        <w:rPr/>
      </w:pPr>
      <w:r>
        <w:rPr/>
        <w:t>F-8:  See comments to F-1.</w:t>
      </w:r>
    </w:p>
    <w:p>
      <w:pPr>
        <w:pStyle w:val="Normal"/>
        <w:rPr/>
      </w:pPr>
      <w:r>
        <w:rPr/>
      </w:r>
    </w:p>
    <w:p>
      <w:pPr>
        <w:pStyle w:val="Normal"/>
        <w:rPr/>
      </w:pPr>
      <w:r>
        <w:rPr/>
        <w:t xml:space="preserve">F-9:  </w:t>
        <w:tab/>
        <w:t>(a) The requirement to report existing renewables seems redundant to the disclosure regulations and an unnecessary administrative burden on suppliers. This information should be readily available through disclosure and the GIS administer.</w:t>
      </w:r>
    </w:p>
    <w:p>
      <w:pPr>
        <w:pStyle w:val="Normal"/>
        <w:numPr>
          <w:ilvl w:val="0"/>
          <w:numId w:val="2"/>
        </w:numPr>
        <w:rPr/>
      </w:pPr>
      <w:r>
        <w:rPr/>
        <w:t>We agree with the proposal to not include a standard for existing renewables.</w:t>
      </w:r>
    </w:p>
    <w:p>
      <w:pPr>
        <w:pStyle w:val="Normal"/>
        <w:rPr/>
      </w:pPr>
      <w:r>
        <w:rPr/>
      </w:r>
    </w:p>
    <w:p>
      <w:pPr>
        <w:pStyle w:val="Normal"/>
        <w:rPr>
          <w:b/>
          <w:bCs/>
        </w:rPr>
      </w:pPr>
      <w:r>
        <w:rPr>
          <w:b/>
          <w:bCs/>
        </w:rPr>
        <w:t>Additional Comments:</w:t>
      </w:r>
    </w:p>
    <w:p>
      <w:pPr>
        <w:pStyle w:val="Normal"/>
        <w:rPr>
          <w:b/>
          <w:bCs/>
        </w:rPr>
      </w:pPr>
      <w:r>
        <w:rPr>
          <w:b/>
          <w:bCs/>
        </w:rPr>
      </w:r>
    </w:p>
    <w:p>
      <w:pPr>
        <w:pStyle w:val="Normal"/>
        <w:numPr>
          <w:ilvl w:val="1"/>
          <w:numId w:val="2"/>
        </w:numPr>
        <w:rPr/>
      </w:pPr>
      <w:r>
        <w:rPr>
          <w:b/>
          <w:bCs/>
        </w:rPr>
        <w:t>Presentation of Contracts</w:t>
      </w:r>
      <w:r>
        <w:rPr/>
        <w:t>:  Presentation of contracts, as stated in the background document, Sect F-3, to substantiate compliance could lead to suppliers disclosing confidential contractual information.  We suggest that if a GIS certificate ownership is not applicable an affidavit under penalty of perjury from the generator be used as verification.</w:t>
      </w:r>
    </w:p>
    <w:p>
      <w:pPr>
        <w:pStyle w:val="Normal"/>
        <w:numPr>
          <w:ilvl w:val="1"/>
          <w:numId w:val="2"/>
        </w:numPr>
        <w:rPr/>
      </w:pPr>
      <w:r>
        <w:rPr>
          <w:b/>
          <w:bCs/>
        </w:rPr>
        <w:t>Compliance Date</w:t>
      </w:r>
      <w:r>
        <w:rPr/>
        <w:t>s: Compliance dates should be streamlined to the extent possible with other states as this reduces the administrative burden on suppliers.  Further, MA RPS and disclosure reporting should also be streamlined.</w:t>
      </w:r>
    </w:p>
    <w:p>
      <w:pPr>
        <w:pStyle w:val="Normal"/>
        <w:numPr>
          <w:ilvl w:val="1"/>
          <w:numId w:val="2"/>
        </w:numPr>
        <w:rPr/>
      </w:pPr>
      <w:r>
        <w:rPr>
          <w:b/>
          <w:bCs/>
        </w:rPr>
        <w:t>2007 review of RPS</w:t>
      </w:r>
      <w:r>
        <w:rPr/>
        <w:t>:  A two-year window is not necessarily enough forewarning if the Division intends to ramp up or down the renewable percentage obligation.  Suppliers will look to sign long term contracts to bring down the cost of compliance.  However, at this point, it is a risk to sign contracts beyond 2007.</w:t>
      </w:r>
    </w:p>
    <w:p>
      <w:pPr>
        <w:pStyle w:val="Normal"/>
        <w:numPr>
          <w:ilvl w:val="1"/>
          <w:numId w:val="2"/>
        </w:numPr>
        <w:rPr/>
      </w:pPr>
      <w:r>
        <w:rPr>
          <w:b/>
          <w:bCs/>
        </w:rPr>
        <w:t>Annual report</w:t>
      </w:r>
      <w:r>
        <w:rPr/>
        <w:t xml:space="preserve">:  We suggest that the Division prepare standardized worksheets for the information required in the annual report.  This approach was taken in California and greatly reduced the time and resources to fulfill our annual reporting obligation.  The annual report worksheets can be viewed on the California Energy Division’s website at </w:t>
      </w:r>
      <w:r>
        <w:fldChar w:fldCharType="begin"/>
      </w:r>
      <w:r>
        <w:rPr>
          <w:rStyle w:val="Hyperlink"/>
        </w:rPr>
        <w:instrText xml:space="preserve"> HYPERLINK "http://www.energy.ca.gov/renewables/documents/index.html" \l "greenpower"</w:instrText>
      </w:r>
      <w:r>
        <w:rPr>
          <w:rStyle w:val="Hyperlink"/>
        </w:rPr>
        <w:fldChar w:fldCharType="separate"/>
      </w:r>
      <w:r>
        <w:rPr>
          <w:rStyle w:val="Hyperlink"/>
        </w:rPr>
        <w:t>www.energy.ca.gov/renewables/documents/index.html#greenpower</w:t>
      </w:r>
      <w:r>
        <w:rPr>
          <w:rStyle w:val="Hyperlink"/>
        </w:rPr>
        <w:fldChar w:fldCharType="end"/>
      </w:r>
    </w:p>
    <w:p>
      <w:pPr>
        <w:pStyle w:val="Normal"/>
        <w:numPr>
          <w:ilvl w:val="1"/>
          <w:numId w:val="2"/>
        </w:numPr>
        <w:rPr/>
      </w:pPr>
      <w:r>
        <w:rPr>
          <w:b/>
          <w:bCs/>
        </w:rPr>
        <w:t>Generation Attribute Definition</w:t>
      </w:r>
      <w:r>
        <w:rPr/>
        <w:t xml:space="preserve">:  The definition in the Draft Rules does not capture the GIS program’s intent; therefore, we encourage the Division to use the same definition as NePool.  The definition in the Draft Rules does not make it clear that the attributes are separate from the underlying power and can be bought, sold and traded independently from the underlying physical electricity.  Further, the “non-price characteristic” wording appears misleading.  </w:t>
      </w:r>
    </w:p>
    <w:p>
      <w:pPr>
        <w:pStyle w:val="Normal"/>
        <w:rPr/>
      </w:pPr>
      <w:r>
        <w:rPr/>
      </w:r>
    </w:p>
    <w:p>
      <w:pPr>
        <w:pStyle w:val="Normal"/>
        <w:rPr/>
      </w:pPr>
      <w:r>
        <w:rPr/>
        <w:t xml:space="preserve">We would once again like to commend the Division, in particular, on their treatment of the following issues in the Draft Rules: annual calendar year settlement; make-up period; installation of flexibility mechanisms; early compliance; and listing of eligible generators on DOER’s website.  </w:t>
      </w:r>
    </w:p>
    <w:p>
      <w:pPr>
        <w:pStyle w:val="Normal"/>
        <w:rPr/>
      </w:pPr>
      <w:r>
        <w:rPr/>
      </w:r>
    </w:p>
    <w:p>
      <w:pPr>
        <w:pStyle w:val="Normal"/>
        <w:rPr/>
      </w:pPr>
      <w:r>
        <w:rPr/>
        <w:t>Respectfully submitted,</w:t>
      </w:r>
    </w:p>
    <w:p>
      <w:pPr>
        <w:pStyle w:val="Normal"/>
        <w:rPr/>
      </w:pPr>
      <w:r>
        <w:rPr/>
      </w:r>
    </w:p>
    <w:p>
      <w:pPr>
        <w:pStyle w:val="Normal"/>
        <w:rPr/>
      </w:pPr>
      <w:r>
        <w:rPr/>
      </w:r>
    </w:p>
    <w:p>
      <w:pPr>
        <w:pStyle w:val="Normal"/>
        <w:rPr/>
      </w:pPr>
      <w:r>
        <w:rPr/>
      </w:r>
    </w:p>
    <w:p>
      <w:pPr>
        <w:pStyle w:val="Normal"/>
        <w:rPr/>
      </w:pPr>
      <w:r>
        <w:rPr/>
        <w:t>Stacey Bolton</w:t>
      </w:r>
    </w:p>
    <w:p>
      <w:pPr>
        <w:pStyle w:val="Normal"/>
        <w:rPr/>
      </w:pPr>
      <w:r>
        <w:rPr/>
        <w:t>Manager, Environmental Strategies</w:t>
      </w:r>
    </w:p>
    <w:p>
      <w:pPr>
        <w:pStyle w:val="Normal"/>
        <w:rPr/>
      </w:pPr>
      <w:r>
        <w:rPr/>
        <w:t>Enron Corp</w:t>
      </w:r>
    </w:p>
    <w:p>
      <w:pPr>
        <w:pStyle w:val="Normal"/>
        <w:rPr/>
      </w:pPr>
      <w:r>
        <w:rPr/>
        <w:t>1400 Smith Street</w:t>
      </w:r>
    </w:p>
    <w:p>
      <w:pPr>
        <w:pStyle w:val="Normal"/>
        <w:rPr/>
      </w:pPr>
      <w:r>
        <w:rPr/>
        <w:t>Houston, Texas 77002</w:t>
      </w:r>
    </w:p>
    <w:p>
      <w:pPr>
        <w:pStyle w:val="Normal"/>
        <w:rPr/>
      </w:pPr>
      <w:r>
        <w:rPr/>
        <w:t>(713) 853-9916 direct</w:t>
      </w:r>
    </w:p>
    <w:p>
      <w:pPr>
        <w:pStyle w:val="Normal"/>
        <w:rPr/>
      </w:pPr>
      <w:r>
        <w:rPr/>
        <w:t>(713) 646-8160 fax</w:t>
      </w:r>
    </w:p>
    <w:p>
      <w:pPr>
        <w:pStyle w:val="Normal"/>
        <w:rPr/>
      </w:pPr>
      <w:r>
        <w:rPr/>
        <w:t>stacey.bolton@enron.com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110"/>
        </w:tabs>
        <w:ind w:start="1110" w:hanging="39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s>
      <w:ind w:hanging="3960" w:start="3960" w:end="0"/>
      <w:outlineLvl w:val="0"/>
    </w:pPr>
    <w:rPr>
      <w:b/>
      <w:color w:val="000000"/>
    </w:rPr>
  </w:style>
  <w:style w:type="paragraph" w:styleId="Heading2">
    <w:name w:val="heading 2"/>
    <w:basedOn w:val="Normal"/>
    <w:next w:val="Normal"/>
    <w:qFormat/>
    <w:pPr>
      <w:keepNext w:val="true"/>
      <w:numPr>
        <w:ilvl w:val="1"/>
        <w:numId w:val="1"/>
      </w:numPr>
      <w:tabs>
        <w:tab w:val="clear" w:pos="720"/>
        <w:tab w:val="left" w:pos="-1440" w:leader="none"/>
      </w:tabs>
      <w:ind w:hanging="3960" w:start="3960" w:end="0"/>
      <w:jc w:val="both"/>
      <w:outlineLvl w:val="1"/>
    </w:pPr>
    <w:rPr>
      <w:b/>
      <w:color w:val="000000"/>
    </w:rPr>
  </w:style>
  <w:style w:type="paragraph" w:styleId="Heading3">
    <w:name w:val="heading 3"/>
    <w:basedOn w:val="Normal"/>
    <w:next w:val="Normal"/>
    <w:qFormat/>
    <w:pPr>
      <w:keepNext w:val="true"/>
      <w:numPr>
        <w:ilvl w:val="2"/>
        <w:numId w:val="1"/>
      </w:numPr>
      <w:tabs>
        <w:tab w:val="clear" w:pos="720"/>
        <w:tab w:val="left" w:pos="-1440" w:leader="none"/>
      </w:tabs>
      <w:ind w:hanging="2520" w:start="3960" w:end="0"/>
      <w:jc w:val="both"/>
      <w:outlineLvl w:val="2"/>
    </w:pPr>
    <w:rPr>
      <w:b/>
      <w:color w:val="000000"/>
    </w:rPr>
  </w:style>
  <w:style w:type="paragraph" w:styleId="Heading4">
    <w:name w:val="heading 4"/>
    <w:basedOn w:val="Normal"/>
    <w:next w:val="Normal"/>
    <w:qFormat/>
    <w:pPr>
      <w:keepNext w:val="true"/>
      <w:numPr>
        <w:ilvl w:val="3"/>
        <w:numId w:val="1"/>
      </w:numPr>
      <w:tabs>
        <w:tab w:val="clear" w:pos="720"/>
        <w:tab w:val="center" w:pos="4680" w:leader="none"/>
      </w:tabs>
      <w:jc w:val="center"/>
      <w:outlineLvl w:val="3"/>
    </w:pPr>
    <w:rPr>
      <w:b/>
      <w:color w:val="000000"/>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2001-10-25T18:17:00Z</dcterms:created>
  <dc:creator>sbolton</dc:creator>
  <dc:description/>
  <dc:language>en-CA</dc:language>
  <cp:lastModifiedBy>sbolton</cp:lastModifiedBy>
  <dcterms:modified xsi:type="dcterms:W3CDTF">2001-10-25T18:21:00Z</dcterms:modified>
  <cp:revision>4</cp:revision>
  <dc:subject/>
  <dc:title>Enron would like to commend the Commission on their thoughtful analysis of the issues surrounding the implementation of the Re</dc:title>
</cp:coreProperties>
</file>