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1"/>
        </w:rPr>
      </w:pPr>
      <w:r>
        <w:rPr>
          <w:sz w:val="21"/>
        </w:rPr>
        <w:tab/>
        <w:tab/>
        <w:tab/>
        <w:tab/>
        <w:tab/>
      </w:r>
    </w:p>
    <w:p>
      <w:pPr>
        <w:pStyle w:val="Normal"/>
        <w:rPr>
          <w:sz w:val="21"/>
        </w:rPr>
      </w:pPr>
      <w:r>
        <w:rPr>
          <w:sz w:val="21"/>
        </w:rPr>
      </w:r>
    </w:p>
    <w:p>
      <w:pPr>
        <w:pStyle w:val="Normal"/>
        <w:rPr>
          <w:sz w:val="21"/>
        </w:rPr>
      </w:pPr>
      <w:r>
        <w:rPr>
          <w:sz w:val="21"/>
        </w:rPr>
      </w:r>
    </w:p>
    <w:p>
      <w:pPr>
        <w:pStyle w:val="Normal"/>
        <w:rPr>
          <w:sz w:val="21"/>
        </w:rPr>
      </w:pPr>
      <w:r>
        <w:rPr>
          <w:sz w:val="21"/>
        </w:rPr>
        <w:tab/>
        <w:tab/>
        <w:tab/>
        <w:tab/>
        <w:tab/>
        <w:tab/>
        <w:tab/>
      </w:r>
    </w:p>
    <w:p>
      <w:pPr>
        <w:pStyle w:val="Normal"/>
        <w:rPr>
          <w:sz w:val="21"/>
        </w:rPr>
      </w:pPr>
      <w:r>
        <w:rPr>
          <w:sz w:val="21"/>
        </w:rPr>
      </w:r>
    </w:p>
    <w:p>
      <w:pPr>
        <w:pStyle w:val="Normal"/>
        <w:rPr>
          <w:sz w:val="21"/>
        </w:rPr>
      </w:pPr>
      <w:r>
        <w:rPr>
          <w:sz w:val="21"/>
        </w:rPr>
        <w:tab/>
        <w:tab/>
        <w:tab/>
        <w:tab/>
        <w:tab/>
        <w:tab/>
        <w:tab/>
        <w:t>July 10, 2000</w:t>
      </w:r>
    </w:p>
    <w:p>
      <w:pPr>
        <w:pStyle w:val="Normal"/>
        <w:rPr>
          <w:sz w:val="21"/>
        </w:rPr>
      </w:pPr>
      <w:r>
        <w:rPr>
          <w:sz w:val="21"/>
        </w:rPr>
      </w:r>
    </w:p>
    <w:p>
      <w:pPr>
        <w:pStyle w:val="Normal"/>
        <w:rPr>
          <w:sz w:val="21"/>
        </w:rPr>
      </w:pPr>
      <w:r>
        <w:rPr>
          <w:sz w:val="21"/>
        </w:rPr>
      </w:r>
    </w:p>
    <w:p>
      <w:pPr>
        <w:pStyle w:val="Normal"/>
        <w:rPr>
          <w:sz w:val="21"/>
        </w:rPr>
      </w:pPr>
      <w:r>
        <w:rPr>
          <w:sz w:val="21"/>
        </w:rPr>
        <w:t>Enron North America</w:t>
      </w:r>
    </w:p>
    <w:p>
      <w:pPr>
        <w:pStyle w:val="Normal"/>
        <w:rPr>
          <w:sz w:val="21"/>
        </w:rPr>
      </w:pPr>
      <w:r>
        <w:rPr>
          <w:sz w:val="21"/>
        </w:rPr>
        <w:t>One Tabor Center</w:t>
      </w:r>
    </w:p>
    <w:p>
      <w:pPr>
        <w:pStyle w:val="Normal"/>
        <w:rPr/>
      </w:pPr>
      <w:r>
        <w:rPr>
          <w:sz w:val="21"/>
        </w:rPr>
        <w:t>1200 17</w:t>
      </w:r>
      <w:r>
        <w:rPr>
          <w:sz w:val="21"/>
          <w:vertAlign w:val="superscript"/>
        </w:rPr>
        <w:t>th</w:t>
      </w:r>
      <w:r>
        <w:rPr>
          <w:sz w:val="21"/>
        </w:rPr>
        <w:t xml:space="preserve"> Street, Suite 2750</w:t>
      </w:r>
    </w:p>
    <w:p>
      <w:pPr>
        <w:pStyle w:val="Normal"/>
        <w:rPr>
          <w:sz w:val="21"/>
        </w:rPr>
      </w:pPr>
      <w:r>
        <w:rPr>
          <w:sz w:val="21"/>
        </w:rPr>
        <w:t>Denver, CO 80202</w:t>
      </w:r>
    </w:p>
    <w:p>
      <w:pPr>
        <w:pStyle w:val="Normal"/>
        <w:rPr>
          <w:sz w:val="21"/>
        </w:rPr>
      </w:pPr>
      <w:r>
        <w:rPr>
          <w:sz w:val="21"/>
        </w:rPr>
      </w:r>
    </w:p>
    <w:p>
      <w:pPr>
        <w:pStyle w:val="Normal"/>
        <w:rPr>
          <w:sz w:val="21"/>
        </w:rPr>
      </w:pPr>
      <w:r>
        <w:rPr>
          <w:sz w:val="21"/>
        </w:rPr>
        <w:tab/>
        <w:t>Attn.: Mike Legler</w:t>
      </w:r>
    </w:p>
    <w:p>
      <w:pPr>
        <w:pStyle w:val="Normal"/>
        <w:tabs>
          <w:tab w:val="left" w:pos="720" w:leader="none"/>
          <w:tab w:val="left" w:pos="1440" w:leader="none"/>
        </w:tabs>
        <w:ind w:hanging="1440" w:start="1440" w:end="0"/>
        <w:jc w:val="both"/>
        <w:rPr>
          <w:sz w:val="21"/>
        </w:rPr>
      </w:pPr>
      <w:r>
        <w:rPr>
          <w:sz w:val="21"/>
        </w:rPr>
      </w:r>
    </w:p>
    <w:p>
      <w:pPr>
        <w:pStyle w:val="Normal"/>
        <w:tabs>
          <w:tab w:val="left" w:pos="720" w:leader="none"/>
          <w:tab w:val="left" w:pos="1440" w:leader="none"/>
        </w:tabs>
        <w:ind w:hanging="1440" w:start="1440" w:end="0"/>
        <w:jc w:val="both"/>
        <w:rPr>
          <w:b/>
          <w:sz w:val="21"/>
        </w:rPr>
      </w:pPr>
      <w:r>
        <w:rPr>
          <w:sz w:val="21"/>
        </w:rPr>
        <w:tab/>
        <w:t>Re:</w:t>
        <w:tab/>
        <w:t xml:space="preserve">Additional amendments to Agreement dated January 12 1999, as amended ("Medicine Bow Lateral Transportation Precedent Agreement" or "MBLTPA") </w:t>
      </w:r>
    </w:p>
    <w:p>
      <w:pPr>
        <w:pStyle w:val="Normal"/>
        <w:rPr>
          <w:rFonts w:eastAsia="Arial"/>
          <w:sz w:val="21"/>
        </w:rPr>
      </w:pPr>
      <w:r>
        <w:rPr>
          <w:rFonts w:eastAsia="Arial"/>
          <w:sz w:val="21"/>
        </w:rPr>
        <w:t xml:space="preserve"> </w:t>
      </w:r>
    </w:p>
    <w:p>
      <w:pPr>
        <w:pStyle w:val="Normal"/>
        <w:rPr>
          <w:sz w:val="21"/>
        </w:rPr>
      </w:pPr>
      <w:r>
        <w:rPr>
          <w:sz w:val="21"/>
        </w:rPr>
        <w:t>Ladies and Gentlemen:</w:t>
        <w:tab/>
        <w:tab/>
        <w:tab/>
      </w:r>
    </w:p>
    <w:p>
      <w:pPr>
        <w:pStyle w:val="Normal"/>
        <w:rPr>
          <w:sz w:val="21"/>
        </w:rPr>
      </w:pPr>
      <w:r>
        <w:rPr>
          <w:sz w:val="21"/>
        </w:rPr>
      </w:r>
    </w:p>
    <w:p>
      <w:pPr>
        <w:pStyle w:val="Normal"/>
        <w:jc w:val="both"/>
        <w:rPr/>
      </w:pPr>
      <w:r>
        <w:rPr>
          <w:sz w:val="21"/>
        </w:rPr>
        <w:tab/>
        <w:t>Wyoming Interstate Company, Ltd. (“WIC”) Enron North America (“Enron”) entered into the referenced MBLTPA, that concerns the construction of new gas transmission facilities identified therein as the "Medicine Bow "Medicine Bow Lateral"*</w:t>
      </w:r>
      <w:r>
        <w:rPr>
          <w:rStyle w:val="FootnoteCharacters"/>
          <w:rStyle w:val="FootnoteReference"/>
          <w:sz w:val="21"/>
        </w:rPr>
        <w:footnoteReference w:id="2"/>
      </w:r>
      <w:r>
        <w:rPr>
          <w:sz w:val="21"/>
        </w:rPr>
        <w:t xml:space="preserve"> and transportation services thereon for Enron.</w:t>
      </w:r>
    </w:p>
    <w:p>
      <w:pPr>
        <w:pStyle w:val="Normal"/>
        <w:jc w:val="both"/>
        <w:rPr>
          <w:sz w:val="21"/>
        </w:rPr>
      </w:pPr>
      <w:r>
        <w:rPr>
          <w:sz w:val="21"/>
        </w:rPr>
      </w:r>
    </w:p>
    <w:p>
      <w:pPr>
        <w:pStyle w:val="Normal"/>
        <w:ind w:firstLine="720" w:end="0"/>
        <w:jc w:val="both"/>
        <w:rPr>
          <w:sz w:val="21"/>
        </w:rPr>
      </w:pPr>
      <w:r>
        <w:rPr>
          <w:sz w:val="21"/>
        </w:rPr>
        <w:t xml:space="preserve">When WIC and Enron executed the MBLTPA, the parties anticipated that the transportation of the last 60 MDth/d of the TMDQIE* ("380-440 Volume") would be accomplished by WIC adding additional compression to the Medicine Bow Lateral*. To address the dramatic increase in gas volumes needing transportation out of the Powder River Basin, the parties are contemporaneously executing a Medicine Bow Loop Transportation Precedent Agreement, dated July __, 2000 ("Loop Agreement"). Under the Loop Agreement and subject to certain conditions contained therein, WIC has agreed to build new pipeline facilities that will "loop" the Medicine Bow Lateral* (the "Loop") rather than WIC installing additional compression on the Medicine Bow Lateral* (other than the additional compression scheduled to go into service in August, 2000). </w:t>
      </w:r>
    </w:p>
    <w:p>
      <w:pPr>
        <w:pStyle w:val="Normal"/>
        <w:jc w:val="both"/>
        <w:rPr>
          <w:sz w:val="21"/>
        </w:rPr>
      </w:pPr>
      <w:r>
        <w:rPr>
          <w:sz w:val="21"/>
        </w:rPr>
      </w:r>
    </w:p>
    <w:p>
      <w:pPr>
        <w:pStyle w:val="Normal"/>
        <w:jc w:val="both"/>
        <w:rPr>
          <w:sz w:val="21"/>
        </w:rPr>
      </w:pPr>
      <w:r>
        <w:rPr>
          <w:sz w:val="21"/>
        </w:rPr>
        <w:tab/>
        <w:t>Accordingly, for and in consideration of the mutual promises of the parties, Enron and WIC agree as follows:</w:t>
      </w:r>
    </w:p>
    <w:p>
      <w:pPr>
        <w:pStyle w:val="Normal"/>
        <w:jc w:val="both"/>
        <w:rPr>
          <w:sz w:val="21"/>
        </w:rPr>
      </w:pPr>
      <w:r>
        <w:rPr>
          <w:sz w:val="21"/>
        </w:rPr>
      </w:r>
    </w:p>
    <w:p>
      <w:pPr>
        <w:pStyle w:val="Normal"/>
        <w:ind w:hanging="720" w:start="720" w:end="0"/>
        <w:jc w:val="both"/>
        <w:rPr>
          <w:sz w:val="21"/>
        </w:rPr>
      </w:pPr>
      <w:r>
        <w:rPr>
          <w:sz w:val="21"/>
        </w:rPr>
        <w:t>1.</w:t>
        <w:tab/>
        <w:t>Provided that the Loop is constructed, notwithstanding any other provision of the MBLTPA, WIC shall not install compression on the Medicine Bow Lateral* to transport the 380-440 Volume. Instead, such volumes will physically flow through the Loop, although contractually the capacity will remain under the MBLTPA .</w:t>
      </w:r>
    </w:p>
    <w:p>
      <w:pPr>
        <w:pStyle w:val="Normal"/>
        <w:jc w:val="both"/>
        <w:rPr>
          <w:sz w:val="21"/>
        </w:rPr>
      </w:pPr>
      <w:r>
        <w:rPr>
          <w:sz w:val="21"/>
        </w:rPr>
      </w:r>
    </w:p>
    <w:p>
      <w:pPr>
        <w:pStyle w:val="Normal"/>
        <w:tabs>
          <w:tab w:val="left" w:pos="720" w:leader="none"/>
        </w:tabs>
        <w:ind w:hanging="720" w:start="720" w:end="0"/>
        <w:jc w:val="both"/>
        <w:rPr>
          <w:sz w:val="21"/>
        </w:rPr>
      </w:pPr>
      <w:r>
        <w:rPr>
          <w:sz w:val="21"/>
        </w:rPr>
        <w:t>2.</w:t>
        <w:tab/>
        <w:t>Effective upon the first day of the month following the date the Loop is ready for service:</w:t>
      </w:r>
    </w:p>
    <w:p>
      <w:pPr>
        <w:pStyle w:val="Normal"/>
        <w:tabs>
          <w:tab w:val="left" w:pos="720" w:leader="none"/>
        </w:tabs>
        <w:ind w:hanging="720" w:start="720" w:end="0"/>
        <w:jc w:val="both"/>
        <w:rPr>
          <w:sz w:val="21"/>
        </w:rPr>
      </w:pPr>
      <w:r>
        <w:rPr>
          <w:sz w:val="21"/>
        </w:rPr>
      </w:r>
    </w:p>
    <w:p>
      <w:pPr>
        <w:pStyle w:val="Normal"/>
        <w:tabs>
          <w:tab w:val="left" w:pos="720" w:leader="none"/>
        </w:tabs>
        <w:ind w:hanging="1440" w:start="1440" w:end="0"/>
        <w:jc w:val="both"/>
        <w:rPr>
          <w:sz w:val="21"/>
        </w:rPr>
      </w:pPr>
      <w:r>
        <w:rPr>
          <w:sz w:val="21"/>
        </w:rPr>
        <w:tab/>
        <w:t>a.</w:t>
        <w:tab/>
        <w:t>Exhibit C of the MBLTPA is deleted and replaced with the new Exhibit C attached hereto and incorporated herein.</w:t>
      </w:r>
    </w:p>
    <w:p>
      <w:pPr>
        <w:pStyle w:val="Normal"/>
        <w:tabs>
          <w:tab w:val="left" w:pos="720" w:leader="none"/>
        </w:tabs>
        <w:ind w:hanging="1440" w:start="1440" w:end="0"/>
        <w:jc w:val="both"/>
        <w:rPr>
          <w:sz w:val="21"/>
        </w:rPr>
      </w:pPr>
      <w:r>
        <w:rPr>
          <w:sz w:val="21"/>
        </w:rPr>
      </w:r>
    </w:p>
    <w:p>
      <w:pPr>
        <w:pStyle w:val="1AutoList4"/>
        <w:ind w:hanging="1440" w:start="1440" w:end="0"/>
        <w:jc w:val="both"/>
        <w:rPr>
          <w:sz w:val="21"/>
        </w:rPr>
      </w:pPr>
      <w:r>
        <w:rPr>
          <w:sz w:val="21"/>
        </w:rPr>
        <w:tab/>
        <w:t>b.</w:t>
        <w:tab/>
        <w:t xml:space="preserve">Section 3(c)(iv) and Section 3(c)(v), as well as the definition of "Expansion," are deleted from the MBLTPA in their entirety. </w:t>
      </w:r>
    </w:p>
    <w:p>
      <w:pPr>
        <w:pStyle w:val="1AutoList4"/>
        <w:ind w:hanging="1440" w:start="1440" w:end="0"/>
        <w:jc w:val="both"/>
        <w:rPr>
          <w:sz w:val="21"/>
        </w:rPr>
      </w:pPr>
      <w:r>
        <w:rPr>
          <w:sz w:val="21"/>
        </w:rPr>
      </w:r>
    </w:p>
    <w:p>
      <w:pPr>
        <w:pStyle w:val="1AutoList4"/>
        <w:ind w:hanging="1440" w:start="1440" w:end="0"/>
        <w:jc w:val="both"/>
        <w:rPr>
          <w:sz w:val="21"/>
        </w:rPr>
      </w:pPr>
      <w:r>
        <w:rPr>
          <w:sz w:val="21"/>
        </w:rPr>
        <w:tab/>
        <w:t>c.</w:t>
        <w:tab/>
        <w:t>The phrase in Paragraph 3(c)(i) of the MBLTPA "Unless reduced pursuant to the provisions of Paragraphs 3(c)(ii) or (iv) of this Agreement (or the comparable provisions of the FTSAs),…" is deleted and replaced with the phrase ""Unless reduced pursuant to the provisions of Paragraph 3(c)(ii) of this Agreement (or the comparable provisions of the FTSAs),…"</w:t>
      </w:r>
    </w:p>
    <w:p>
      <w:pPr>
        <w:pStyle w:val="1AutoList4"/>
        <w:ind w:hanging="1440" w:start="1440" w:end="0"/>
        <w:jc w:val="both"/>
        <w:rPr>
          <w:sz w:val="21"/>
        </w:rPr>
      </w:pPr>
      <w:r>
        <w:rPr>
          <w:sz w:val="21"/>
        </w:rPr>
      </w:r>
    </w:p>
    <w:p>
      <w:pPr>
        <w:pStyle w:val="1AutoList4"/>
        <w:ind w:hanging="1440" w:start="1440" w:end="0"/>
        <w:jc w:val="both"/>
        <w:rPr>
          <w:sz w:val="21"/>
        </w:rPr>
      </w:pPr>
      <w:r>
        <w:rPr>
          <w:sz w:val="21"/>
        </w:rPr>
        <w:tab/>
        <w:t>d.</w:t>
        <w:tab/>
        <w:t>The FTSA* described in the MBLTPA shall be amended as necessary to conform to the provisions of this letter agreement.</w:t>
      </w:r>
    </w:p>
    <w:p>
      <w:pPr>
        <w:pStyle w:val="1AutoList4"/>
        <w:ind w:hanging="1440" w:start="1440" w:end="0"/>
        <w:jc w:val="both"/>
        <w:rPr>
          <w:sz w:val="21"/>
        </w:rPr>
      </w:pPr>
      <w:r>
        <w:rPr>
          <w:sz w:val="21"/>
        </w:rPr>
      </w:r>
    </w:p>
    <w:p>
      <w:pPr>
        <w:pStyle w:val="1AutoList4"/>
        <w:ind w:hanging="1440" w:start="1440" w:end="0"/>
        <w:jc w:val="both"/>
        <w:rPr/>
      </w:pPr>
      <w:r>
        <w:rPr>
          <w:sz w:val="21"/>
        </w:rPr>
        <w:tab/>
        <w:t>e.</w:t>
        <w:tab/>
        <w:t>T</w:t>
      </w:r>
      <w:r>
        <w:rPr>
          <w:sz w:val="18"/>
        </w:rPr>
        <w:t xml:space="preserve">he </w:t>
      </w:r>
      <w:r>
        <w:rPr>
          <w:sz w:val="21"/>
        </w:rPr>
        <w:t>definition of "Medicine Bow Lateral” in the MBLTPA is deleted and replaced with the following:</w:t>
      </w:r>
    </w:p>
    <w:p>
      <w:pPr>
        <w:pStyle w:val="1AutoList4"/>
        <w:ind w:hanging="1440" w:start="1440" w:end="0"/>
        <w:jc w:val="both"/>
        <w:rPr>
          <w:sz w:val="21"/>
        </w:rPr>
      </w:pPr>
      <w:r>
        <w:rPr>
          <w:sz w:val="21"/>
        </w:rPr>
      </w:r>
    </w:p>
    <w:p>
      <w:pPr>
        <w:pStyle w:val="1AutoList4"/>
        <w:ind w:hanging="1440" w:start="1440" w:end="0"/>
        <w:jc w:val="both"/>
        <w:rPr>
          <w:sz w:val="21"/>
        </w:rPr>
      </w:pPr>
      <w:r>
        <w:rPr>
          <w:sz w:val="21"/>
        </w:rPr>
        <w:tab/>
        <w:tab/>
        <w:t>"Medicine Bow Lateral” means Transporter's gas transmission facilities extending from the meter stations in Section 33, Township 33N, Range 73W, Converse County, Wyoming, along a diagonal path to an interconnection with WIC’s mainline in Section 28, Township 12N, Range 67W, Weld County, Colorado, as the same may be modified by the addition of compression to create a total capacity of up to 380 MDth/day.</w:t>
      </w:r>
    </w:p>
    <w:p>
      <w:pPr>
        <w:pStyle w:val="1AutoList4"/>
        <w:ind w:hanging="0" w:start="0" w:end="0"/>
        <w:jc w:val="both"/>
        <w:rPr>
          <w:sz w:val="21"/>
        </w:rPr>
      </w:pPr>
      <w:r>
        <w:rPr>
          <w:sz w:val="21"/>
        </w:rPr>
      </w:r>
    </w:p>
    <w:p>
      <w:pPr>
        <w:pStyle w:val="1AutoList4"/>
        <w:numPr>
          <w:ilvl w:val="0"/>
          <w:numId w:val="1"/>
        </w:numPr>
        <w:jc w:val="both"/>
        <w:rPr>
          <w:sz w:val="21"/>
        </w:rPr>
      </w:pPr>
      <w:r>
        <w:rPr>
          <w:sz w:val="21"/>
        </w:rPr>
        <w:t>This Amendment shall be effective upon the date hereof.  In the event, however, that WIC does not construct the Loop then this Amendment shall be of no force or effect, except that:</w:t>
      </w:r>
    </w:p>
    <w:p>
      <w:pPr>
        <w:pStyle w:val="1AutoList4"/>
        <w:ind w:hanging="0" w:start="0" w:end="0"/>
        <w:jc w:val="both"/>
        <w:rPr>
          <w:sz w:val="21"/>
        </w:rPr>
      </w:pPr>
      <w:r>
        <w:rPr>
          <w:sz w:val="21"/>
        </w:rPr>
      </w:r>
    </w:p>
    <w:p>
      <w:pPr>
        <w:pStyle w:val="1AutoList4"/>
        <w:ind w:start="1440" w:end="0"/>
        <w:jc w:val="both"/>
        <w:rPr>
          <w:sz w:val="21"/>
        </w:rPr>
      </w:pPr>
      <w:r>
        <w:rPr>
          <w:sz w:val="21"/>
        </w:rPr>
        <w:t xml:space="preserve">a. </w:t>
        <w:tab/>
        <w:t xml:space="preserve">The parties agree that no claims shall arise from any delay necessitated by WIC seeking regulatory approvals for the compression required to transport the 380-440 Volume on the Medicine Bow Lateral because the parties recognize that WIC will be pursuing approvals for the Loop rather than approvals for such compression. </w:t>
      </w:r>
    </w:p>
    <w:p>
      <w:pPr>
        <w:pStyle w:val="1AutoList4"/>
        <w:ind w:start="1440" w:end="0"/>
        <w:jc w:val="both"/>
        <w:rPr>
          <w:sz w:val="21"/>
        </w:rPr>
      </w:pPr>
      <w:r>
        <w:rPr>
          <w:sz w:val="21"/>
        </w:rPr>
      </w:r>
    </w:p>
    <w:p>
      <w:pPr>
        <w:pStyle w:val="1AutoList4"/>
        <w:ind w:start="1440" w:end="0"/>
        <w:jc w:val="both"/>
        <w:rPr>
          <w:sz w:val="21"/>
        </w:rPr>
      </w:pPr>
      <w:r>
        <w:rPr>
          <w:sz w:val="21"/>
        </w:rPr>
        <w:t>b.</w:t>
        <w:tab/>
        <w:t>Whether or not WIC constructs the Loop, Enron shall not be obligated to pay reservation charges or other charges for any volume of Enron's MDQ under the MBLTPA and FTSA* earlier than the point in time that WIC has ready for service facilities adequate to provide firm transportation for such volume.</w:t>
      </w:r>
    </w:p>
    <w:p>
      <w:pPr>
        <w:pStyle w:val="1AutoList4"/>
        <w:ind w:start="1440" w:end="0"/>
        <w:jc w:val="both"/>
        <w:rPr>
          <w:sz w:val="21"/>
        </w:rPr>
      </w:pPr>
      <w:r>
        <w:rPr>
          <w:sz w:val="21"/>
        </w:rPr>
      </w:r>
    </w:p>
    <w:p>
      <w:pPr>
        <w:pStyle w:val="1AutoList4"/>
        <w:spacing w:lineRule="atLeast" w:line="1"/>
        <w:jc w:val="both"/>
        <w:rPr>
          <w:sz w:val="21"/>
        </w:rPr>
      </w:pPr>
      <w:r>
        <w:rPr>
          <w:sz w:val="21"/>
        </w:rPr>
        <w:t>4.</w:t>
        <w:tab/>
        <w:t>The parties' obligations under this letter agreement shall be subject to the approval, if required, of the terms of this letter agreement by WIC's lenders.</w:t>
      </w:r>
    </w:p>
    <w:p>
      <w:pPr>
        <w:pStyle w:val="1AutoList4"/>
        <w:spacing w:lineRule="atLeast" w:line="1"/>
        <w:jc w:val="both"/>
        <w:rPr>
          <w:b/>
          <w:sz w:val="21"/>
        </w:rPr>
      </w:pPr>
      <w:r>
        <w:rPr>
          <w:b/>
          <w:sz w:val="21"/>
        </w:rPr>
      </w:r>
      <w:r>
        <w:br w:type="page"/>
      </w:r>
    </w:p>
    <w:p>
      <w:pPr>
        <w:pStyle w:val="1AutoList4"/>
        <w:tabs>
          <w:tab w:val="clear" w:pos="720"/>
          <w:tab w:val="left" w:pos="0" w:leader="none"/>
        </w:tabs>
        <w:spacing w:lineRule="atLeast" w:line="1"/>
        <w:ind w:hanging="0" w:start="0" w:end="0"/>
        <w:jc w:val="both"/>
        <w:rPr>
          <w:sz w:val="21"/>
        </w:rPr>
      </w:pPr>
      <w:r>
        <w:rPr>
          <w:sz w:val="21"/>
        </w:rPr>
        <w:tab/>
        <w:t xml:space="preserve">If the foregoing is acceptable to Enron, please have this letter agreement executed and return a copy to WIC.  </w:t>
      </w:r>
    </w:p>
    <w:p>
      <w:pPr>
        <w:pStyle w:val="Normal"/>
        <w:tabs>
          <w:tab w:val="left" w:pos="720" w:leader="none"/>
        </w:tabs>
        <w:spacing w:lineRule="atLeast" w:line="1"/>
        <w:ind w:hanging="720" w:start="720" w:end="0"/>
        <w:jc w:val="both"/>
        <w:rPr>
          <w:sz w:val="21"/>
        </w:rPr>
      </w:pPr>
      <w:r>
        <w:rPr>
          <w:sz w:val="21"/>
        </w:rPr>
      </w:r>
    </w:p>
    <w:p>
      <w:pPr>
        <w:pStyle w:val="Normal"/>
        <w:spacing w:lineRule="atLeast" w:line="1"/>
        <w:jc w:val="both"/>
        <w:rPr>
          <w:sz w:val="21"/>
        </w:rPr>
      </w:pPr>
      <w:r>
        <w:rPr>
          <w:sz w:val="21"/>
        </w:rPr>
        <w:tab/>
        <w:tab/>
        <w:tab/>
        <w:tab/>
        <w:t>WYOMING INTERSTATE COMPANY, LTD.</w:t>
      </w:r>
    </w:p>
    <w:p>
      <w:pPr>
        <w:pStyle w:val="Normal"/>
        <w:spacing w:lineRule="atLeast" w:line="1"/>
        <w:jc w:val="both"/>
        <w:rPr>
          <w:sz w:val="21"/>
        </w:rPr>
      </w:pPr>
      <w:r>
        <w:rPr>
          <w:sz w:val="21"/>
        </w:rPr>
        <w:tab/>
        <w:tab/>
        <w:tab/>
        <w:tab/>
        <w:t>By: CIG Gas Supply Company,</w:t>
      </w:r>
    </w:p>
    <w:p>
      <w:pPr>
        <w:pStyle w:val="Normal"/>
        <w:spacing w:lineRule="atLeast" w:line="1"/>
        <w:jc w:val="both"/>
        <w:rPr>
          <w:sz w:val="21"/>
        </w:rPr>
      </w:pPr>
      <w:r>
        <w:rPr>
          <w:sz w:val="21"/>
        </w:rPr>
        <w:tab/>
        <w:tab/>
        <w:tab/>
        <w:tab/>
        <w:tab/>
        <w:t>General Partner</w:t>
      </w:r>
    </w:p>
    <w:p>
      <w:pPr>
        <w:pStyle w:val="Normal"/>
        <w:spacing w:lineRule="atLeast" w:line="1"/>
        <w:jc w:val="both"/>
        <w:rPr>
          <w:sz w:val="21"/>
        </w:rPr>
      </w:pPr>
      <w:r>
        <w:rPr>
          <w:sz w:val="21"/>
        </w:rPr>
      </w:r>
    </w:p>
    <w:p>
      <w:pPr>
        <w:pStyle w:val="Normal"/>
        <w:spacing w:lineRule="atLeast" w:line="1"/>
        <w:jc w:val="both"/>
        <w:rPr>
          <w:sz w:val="21"/>
        </w:rPr>
      </w:pPr>
      <w:r>
        <w:rPr>
          <w:sz w:val="21"/>
        </w:rPr>
      </w:r>
    </w:p>
    <w:p>
      <w:pPr>
        <w:pStyle w:val="Normal"/>
        <w:spacing w:lineRule="atLeast" w:line="1"/>
        <w:jc w:val="both"/>
        <w:rPr>
          <w:sz w:val="21"/>
        </w:rPr>
      </w:pPr>
      <w:r>
        <w:rPr>
          <w:sz w:val="21"/>
        </w:rPr>
        <w:tab/>
        <w:tab/>
        <w:tab/>
        <w:tab/>
        <w:t>By: _____________________</w:t>
      </w:r>
    </w:p>
    <w:p>
      <w:pPr>
        <w:pStyle w:val="Normal"/>
        <w:spacing w:lineRule="atLeast" w:line="1"/>
        <w:jc w:val="both"/>
        <w:rPr>
          <w:sz w:val="21"/>
        </w:rPr>
      </w:pPr>
      <w:r>
        <w:rPr>
          <w:sz w:val="21"/>
        </w:rPr>
        <w:tab/>
        <w:tab/>
        <w:tab/>
        <w:tab/>
        <w:tab/>
        <w:t>Donald J. Zinko</w:t>
      </w:r>
    </w:p>
    <w:p>
      <w:pPr>
        <w:pStyle w:val="Normal"/>
        <w:spacing w:lineRule="atLeast" w:line="1"/>
        <w:jc w:val="both"/>
        <w:rPr>
          <w:sz w:val="21"/>
        </w:rPr>
      </w:pPr>
      <w:r>
        <w:rPr>
          <w:sz w:val="21"/>
        </w:rPr>
        <w:tab/>
        <w:tab/>
        <w:tab/>
        <w:tab/>
        <w:tab/>
        <w:t>Senior Vice President</w:t>
      </w:r>
    </w:p>
    <w:p>
      <w:pPr>
        <w:pStyle w:val="Normal"/>
        <w:spacing w:lineRule="atLeast" w:line="1"/>
        <w:jc w:val="both"/>
        <w:rPr>
          <w:sz w:val="21"/>
        </w:rPr>
      </w:pPr>
      <w:r>
        <w:rPr>
          <w:sz w:val="21"/>
        </w:rPr>
        <w:tab/>
        <w:tab/>
      </w:r>
    </w:p>
    <w:p>
      <w:pPr>
        <w:pStyle w:val="Normal"/>
        <w:spacing w:lineRule="atLeast" w:line="1"/>
        <w:rPr>
          <w:sz w:val="21"/>
        </w:rPr>
      </w:pPr>
      <w:r>
        <w:rPr>
          <w:sz w:val="21"/>
        </w:rPr>
      </w:r>
    </w:p>
    <w:p>
      <w:pPr>
        <w:pStyle w:val="Normal"/>
        <w:spacing w:lineRule="atLeast" w:line="1"/>
        <w:rPr>
          <w:sz w:val="21"/>
        </w:rPr>
      </w:pPr>
      <w:r>
        <w:rPr>
          <w:sz w:val="21"/>
        </w:rPr>
        <w:t>Accepted and agreed to:</w:t>
      </w:r>
    </w:p>
    <w:p>
      <w:pPr>
        <w:pStyle w:val="Normal"/>
        <w:spacing w:lineRule="atLeast" w:line="1"/>
        <w:rPr>
          <w:sz w:val="21"/>
        </w:rPr>
      </w:pPr>
      <w:r>
        <w:rPr>
          <w:sz w:val="21"/>
        </w:rPr>
      </w:r>
    </w:p>
    <w:p>
      <w:pPr>
        <w:pStyle w:val="Normal"/>
        <w:spacing w:lineRule="atLeast" w:line="1"/>
        <w:rPr>
          <w:sz w:val="21"/>
        </w:rPr>
      </w:pPr>
      <w:r>
        <w:rPr>
          <w:sz w:val="21"/>
        </w:rPr>
        <w:t xml:space="preserve">ENRON NORTH AMERICA </w:t>
      </w:r>
    </w:p>
    <w:p>
      <w:pPr>
        <w:pStyle w:val="Normal"/>
        <w:spacing w:lineRule="atLeast" w:line="1"/>
        <w:rPr>
          <w:sz w:val="21"/>
        </w:rPr>
      </w:pPr>
      <w:r>
        <w:rPr>
          <w:sz w:val="21"/>
        </w:rPr>
      </w:r>
    </w:p>
    <w:p>
      <w:pPr>
        <w:pStyle w:val="Normal"/>
        <w:spacing w:lineRule="atLeast" w:line="1"/>
        <w:rPr>
          <w:sz w:val="21"/>
        </w:rPr>
      </w:pPr>
      <w:r>
        <w:rPr>
          <w:sz w:val="21"/>
        </w:rPr>
      </w:r>
    </w:p>
    <w:p>
      <w:pPr>
        <w:pStyle w:val="Normal"/>
        <w:spacing w:lineRule="atLeast" w:line="1"/>
        <w:rPr/>
      </w:pPr>
      <w:r>
        <w:rPr>
          <w:sz w:val="21"/>
        </w:rPr>
        <w:t xml:space="preserve">By: </w:t>
      </w:r>
      <w:r>
        <w:rPr>
          <w:sz w:val="21"/>
          <w:u w:val="single"/>
        </w:rPr>
        <w:t xml:space="preserve">                             </w:t>
      </w:r>
      <w:r>
        <w:rPr>
          <w:sz w:val="21"/>
        </w:rPr>
        <w:t>______</w:t>
      </w:r>
    </w:p>
    <w:p>
      <w:pPr>
        <w:pStyle w:val="Normal"/>
        <w:spacing w:lineRule="atLeast" w:line="1"/>
        <w:rPr>
          <w:sz w:val="21"/>
        </w:rPr>
      </w:pPr>
      <w:r>
        <w:rPr>
          <w:sz w:val="21"/>
        </w:rPr>
        <w:t>Name:  __________________</w:t>
      </w:r>
    </w:p>
    <w:p>
      <w:pPr>
        <w:pStyle w:val="Normal"/>
        <w:spacing w:lineRule="atLeast" w:line="1"/>
        <w:rPr>
          <w:sz w:val="21"/>
        </w:rPr>
      </w:pPr>
      <w:r>
        <w:rPr>
          <w:sz w:val="21"/>
        </w:rPr>
        <w:t>Title:  ___________________</w:t>
      </w:r>
    </w:p>
    <w:p>
      <w:pPr>
        <w:sectPr>
          <w:footerReference w:type="default" r:id="rId2"/>
          <w:footerReference w:type="first" r:id="rId3"/>
          <w:footnotePr>
            <w:numFmt w:val="decimal"/>
          </w:footnotePr>
          <w:type w:val="nextPage"/>
          <w:pgSz w:w="12240" w:h="15840"/>
          <w:pgMar w:left="1800" w:right="2520" w:gutter="0" w:header="0" w:top="1440" w:footer="720" w:bottom="1440"/>
          <w:pgNumType w:fmt="decimal"/>
          <w:formProt w:val="false"/>
          <w:titlePg/>
          <w:textDirection w:val="lrTb"/>
          <w:docGrid w:type="default" w:linePitch="360" w:charSpace="0"/>
        </w:sectPr>
        <w:pStyle w:val="Normal"/>
        <w:spacing w:lineRule="atLeast" w:line="1"/>
        <w:rPr>
          <w:sz w:val="21"/>
        </w:rPr>
      </w:pPr>
      <w:r>
        <w:rPr>
          <w:sz w:val="21"/>
        </w:rPr>
        <w:tab/>
      </w:r>
    </w:p>
    <w:p>
      <w:pPr>
        <w:pStyle w:val="Normal"/>
        <w:spacing w:lineRule="atLeast" w:line="1"/>
        <w:jc w:val="center"/>
        <w:rPr>
          <w:sz w:val="21"/>
        </w:rPr>
      </w:pPr>
      <w:r>
        <w:rPr>
          <w:b/>
          <w:sz w:val="21"/>
        </w:rPr>
        <w:t>Exhibit C – Rate Schedule</w:t>
      </w:r>
    </w:p>
    <w:p>
      <w:pPr>
        <w:pStyle w:val="Normal"/>
        <w:spacing w:lineRule="atLeast" w:line="1"/>
        <w:jc w:val="both"/>
        <w:rPr>
          <w:sz w:val="21"/>
        </w:rPr>
      </w:pPr>
      <w:r>
        <w:rPr>
          <w:sz w:val="21"/>
        </w:rPr>
      </w:r>
    </w:p>
    <w:tbl>
      <w:tblPr>
        <w:tblW w:w="7740" w:type="dxa"/>
        <w:jc w:val="start"/>
        <w:tblInd w:w="460" w:type="dxa"/>
        <w:tblLayout w:type="fixed"/>
        <w:tblCellMar>
          <w:top w:w="0" w:type="dxa"/>
          <w:start w:w="100" w:type="dxa"/>
          <w:bottom w:w="0" w:type="dxa"/>
          <w:end w:w="100" w:type="dxa"/>
        </w:tblCellMar>
      </w:tblPr>
      <w:tblGrid>
        <w:gridCol w:w="2430"/>
        <w:gridCol w:w="5310"/>
      </w:tblGrid>
      <w:tr>
        <w:trPr>
          <w:trHeight w:val="403" w:hRule="atLeast"/>
        </w:trPr>
        <w:tc>
          <w:tcPr>
            <w:tcW w:w="2430" w:type="dxa"/>
            <w:tcBorders>
              <w:top w:val="single" w:sz="6" w:space="0" w:color="000000"/>
              <w:start w:val="single" w:sz="6" w:space="0" w:color="000000"/>
            </w:tcBorders>
          </w:tcPr>
          <w:p>
            <w:pPr>
              <w:pStyle w:val="Normal"/>
              <w:jc w:val="center"/>
              <w:rPr>
                <w:b/>
                <w:sz w:val="21"/>
              </w:rPr>
            </w:pPr>
            <w:r>
              <w:rPr>
                <w:b/>
                <w:sz w:val="21"/>
              </w:rPr>
              <w:t>TMDQIE</w:t>
            </w:r>
          </w:p>
          <w:p>
            <w:pPr>
              <w:pStyle w:val="Normal"/>
              <w:jc w:val="center"/>
              <w:rPr>
                <w:sz w:val="18"/>
              </w:rPr>
            </w:pPr>
            <w:r>
              <w:rPr>
                <w:b/>
                <w:sz w:val="18"/>
              </w:rPr>
              <w:t>(MDth/d)</w:t>
            </w:r>
          </w:p>
        </w:tc>
        <w:tc>
          <w:tcPr>
            <w:tcW w:w="5310" w:type="dxa"/>
            <w:tcBorders>
              <w:top w:val="single" w:sz="6" w:space="0" w:color="000000"/>
              <w:start w:val="single" w:sz="6" w:space="0" w:color="000000"/>
              <w:end w:val="single" w:sz="6" w:space="0" w:color="000000"/>
            </w:tcBorders>
          </w:tcPr>
          <w:p>
            <w:pPr>
              <w:pStyle w:val="Normal"/>
              <w:jc w:val="center"/>
              <w:rPr>
                <w:b/>
                <w:sz w:val="21"/>
              </w:rPr>
            </w:pPr>
            <w:r>
              <w:rPr>
                <w:b/>
                <w:sz w:val="21"/>
              </w:rPr>
              <w:t>100% Load Factor</w:t>
            </w:r>
          </w:p>
          <w:p>
            <w:pPr>
              <w:pStyle w:val="Normal"/>
              <w:jc w:val="center"/>
              <w:rPr/>
            </w:pPr>
            <w:r>
              <w:rPr>
                <w:b/>
                <w:sz w:val="21"/>
              </w:rPr>
              <w:t xml:space="preserve">Rate </w:t>
            </w:r>
            <w:r>
              <w:rPr>
                <w:b/>
                <w:sz w:val="18"/>
              </w:rPr>
              <w:t>($/Dth)</w:t>
            </w:r>
            <w:r>
              <w:rPr>
                <w:rStyle w:val="FootnoteCharacters"/>
                <w:rStyle w:val="FootnoteReference"/>
                <w:sz w:val="21"/>
              </w:rPr>
              <w:footnoteReference w:id="3"/>
            </w:r>
            <w:r>
              <w:rPr>
                <w:rStyle w:val="FootnoteCharacters"/>
                <w:rStyle w:val="FootnoteReference"/>
                <w:sz w:val="21"/>
              </w:rPr>
              <w:footnoteReference w:id="4"/>
            </w:r>
            <w:r>
              <w:rPr>
                <w:sz w:val="21"/>
              </w:rPr>
              <w:t xml:space="preserve"> </w:t>
            </w:r>
          </w:p>
        </w:tc>
      </w:tr>
      <w:tr>
        <w:trPr>
          <w:trHeight w:val="403" w:hRule="atLeast"/>
        </w:trPr>
        <w:tc>
          <w:tcPr>
            <w:tcW w:w="2430" w:type="dxa"/>
            <w:tcBorders>
              <w:top w:val="single" w:sz="6" w:space="0" w:color="000000"/>
              <w:start w:val="single" w:sz="6" w:space="0" w:color="000000"/>
            </w:tcBorders>
          </w:tcPr>
          <w:p>
            <w:pPr>
              <w:pStyle w:val="Normal"/>
              <w:jc w:val="center"/>
              <w:rPr>
                <w:sz w:val="21"/>
              </w:rPr>
            </w:pPr>
            <w:r>
              <w:rPr>
                <w:sz w:val="21"/>
              </w:rPr>
              <w:t>Above 350</w:t>
            </w:r>
          </w:p>
        </w:tc>
        <w:tc>
          <w:tcPr>
            <w:tcW w:w="5310" w:type="dxa"/>
            <w:tcBorders>
              <w:top w:val="single" w:sz="6" w:space="0" w:color="000000"/>
              <w:start w:val="single" w:sz="6" w:space="0" w:color="000000"/>
              <w:end w:val="single" w:sz="6" w:space="0" w:color="000000"/>
            </w:tcBorders>
          </w:tcPr>
          <w:p>
            <w:pPr>
              <w:pStyle w:val="Normal"/>
              <w:rPr>
                <w:sz w:val="21"/>
              </w:rPr>
            </w:pPr>
            <w:r>
              <w:rPr>
                <w:sz w:val="21"/>
              </w:rPr>
              <w:t xml:space="preserve">0.1260; however the rate shall be 0.1200 commencing on the first day of the month following the date the Loop goes is ready for service </w:t>
            </w:r>
          </w:p>
        </w:tc>
      </w:tr>
      <w:tr>
        <w:trPr>
          <w:trHeight w:val="403" w:hRule="atLeast"/>
        </w:trPr>
        <w:tc>
          <w:tcPr>
            <w:tcW w:w="2430" w:type="dxa"/>
            <w:tcBorders>
              <w:top w:val="single" w:sz="6" w:space="0" w:color="000000"/>
              <w:start w:val="single" w:sz="6" w:space="0" w:color="000000"/>
            </w:tcBorders>
          </w:tcPr>
          <w:p>
            <w:pPr>
              <w:pStyle w:val="Normal"/>
              <w:jc w:val="center"/>
              <w:rPr>
                <w:sz w:val="21"/>
              </w:rPr>
            </w:pPr>
            <w:r>
              <w:rPr>
                <w:sz w:val="21"/>
              </w:rPr>
              <w:t>300-349</w:t>
            </w:r>
          </w:p>
        </w:tc>
        <w:tc>
          <w:tcPr>
            <w:tcW w:w="5310" w:type="dxa"/>
            <w:tcBorders>
              <w:top w:val="single" w:sz="6" w:space="0" w:color="000000"/>
              <w:start w:val="single" w:sz="6" w:space="0" w:color="000000"/>
              <w:end w:val="single" w:sz="6" w:space="0" w:color="000000"/>
            </w:tcBorders>
          </w:tcPr>
          <w:p>
            <w:pPr>
              <w:pStyle w:val="Normal"/>
              <w:jc w:val="center"/>
              <w:rPr>
                <w:sz w:val="21"/>
              </w:rPr>
            </w:pPr>
            <w:r>
              <w:rPr>
                <w:sz w:val="21"/>
              </w:rPr>
              <w:t>0.1330</w:t>
            </w:r>
          </w:p>
        </w:tc>
      </w:tr>
      <w:tr>
        <w:trPr>
          <w:trHeight w:val="403" w:hRule="atLeast"/>
        </w:trPr>
        <w:tc>
          <w:tcPr>
            <w:tcW w:w="2430" w:type="dxa"/>
            <w:tcBorders>
              <w:top w:val="single" w:sz="6" w:space="0" w:color="000000"/>
              <w:start w:val="single" w:sz="6" w:space="0" w:color="000000"/>
              <w:bottom w:val="single" w:sz="6" w:space="0" w:color="000000"/>
            </w:tcBorders>
          </w:tcPr>
          <w:p>
            <w:pPr>
              <w:pStyle w:val="Normal"/>
              <w:jc w:val="center"/>
              <w:rPr>
                <w:sz w:val="21"/>
              </w:rPr>
            </w:pPr>
            <w:r>
              <w:rPr>
                <w:sz w:val="21"/>
              </w:rPr>
              <w:t>250-299</w:t>
            </w:r>
          </w:p>
        </w:tc>
        <w:tc>
          <w:tcPr>
            <w:tcW w:w="5310" w:type="dxa"/>
            <w:tcBorders>
              <w:top w:val="single" w:sz="6" w:space="0" w:color="000000"/>
              <w:start w:val="single" w:sz="6" w:space="0" w:color="000000"/>
              <w:bottom w:val="single" w:sz="6" w:space="0" w:color="000000"/>
              <w:end w:val="single" w:sz="6" w:space="0" w:color="000000"/>
            </w:tcBorders>
          </w:tcPr>
          <w:p>
            <w:pPr>
              <w:pStyle w:val="Normal"/>
              <w:jc w:val="center"/>
              <w:rPr>
                <w:sz w:val="21"/>
              </w:rPr>
            </w:pPr>
            <w:r>
              <w:rPr>
                <w:sz w:val="21"/>
              </w:rPr>
              <w:t>0.1590</w:t>
            </w:r>
          </w:p>
        </w:tc>
      </w:tr>
    </w:tbl>
    <w:p>
      <w:pPr>
        <w:pStyle w:val="Normal"/>
        <w:spacing w:lineRule="atLeast" w:line="1"/>
        <w:jc w:val="both"/>
        <w:rPr>
          <w:sz w:val="21"/>
        </w:rPr>
      </w:pPr>
      <w:r>
        <w:rPr>
          <w:sz w:val="21"/>
        </w:rPr>
      </w:r>
      <w:r>
        <w:br w:type="page"/>
      </w:r>
    </w:p>
    <w:p>
      <w:pPr>
        <w:pStyle w:val="Normal"/>
        <w:jc w:val="center"/>
        <w:rPr>
          <w:sz w:val="21"/>
        </w:rPr>
      </w:pPr>
      <w:r>
        <w:rPr>
          <w:sz w:val="21"/>
        </w:rPr>
      </w:r>
    </w:p>
    <w:sectPr>
      <w:footerReference w:type="default" r:id="rId4"/>
      <w:footerReference w:type="first" r:id="rId5"/>
      <w:footnotePr>
        <w:numFmt w:val="decimal"/>
      </w:footnotePr>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8"/>
      </w:rPr>
    </w:pPr>
    <w:r>
      <w:rPr>
        <w:sz w:val="18"/>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4295" cy="153670"/>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153670"/>
                      </a:xfrm>
                      <a:prstGeom prst="rect"/>
                      <a:solidFill>
                        <a:srgbClr val="FFFFFF">
                          <a:alpha val="0"/>
                        </a:srgbClr>
                      </a:solidFill>
                    </wps:spPr>
                    <wps:txbx>
                      <w:txbxContent>
                        <w:p>
                          <w:pPr>
                            <w:pStyle w:val="Footer"/>
                            <w:rPr>
                              <w:rStyle w:val="PageNumber"/>
                              <w:sz w:val="21"/>
                            </w:rPr>
                          </w:pP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3</w:t>
                          </w:r>
                          <w:r>
                            <w:rPr>
                              <w:rStyle w:val="PageNumber"/>
                              <w:sz w:val="21"/>
                            </w:rPr>
                            <w:fldChar w:fldCharType="end"/>
                          </w:r>
                        </w:p>
                      </w:txbxContent>
                    </wps:txbx>
                    <wps:bodyPr anchor="t" lIns="0" tIns="0" rIns="0" bIns="0">
                      <a:noAutofit/>
                    </wps:bodyPr>
                  </wps:wsp>
                </a:graphicData>
              </a:graphic>
            </wp:anchor>
          </w:drawing>
        </mc:Choice>
        <mc:Fallback>
          <w:pict>
            <v:rect fillcolor="#FFFFFF" style="position:absolute;rotation:-0;width:5.85pt;height:12.1pt;mso-wrap-distance-left:0pt;mso-wrap-distance-right:0pt;mso-wrap-distance-top:0pt;mso-wrap-distance-bottom:0pt;margin-top:0.05pt;mso-position-vertical-relative:text;margin-left:195.1pt;mso-position-horizontal:center;mso-position-horizontal-relative:margin">
              <v:fill opacity="0f"/>
              <v:textbox inset="0in,0in,0in,0in">
                <w:txbxContent>
                  <w:p>
                    <w:pPr>
                      <w:pStyle w:val="Footer"/>
                      <w:rPr>
                        <w:rStyle w:val="PageNumber"/>
                        <w:sz w:val="21"/>
                      </w:rPr>
                    </w:pP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3</w:t>
                    </w:r>
                    <w:r>
                      <w:rPr>
                        <w:rStyle w:val="PageNumber"/>
                        <w:sz w:val="21"/>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8"/>
      </w:rPr>
    </w:pPr>
    <w:r>
      <w:rPr>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9690" cy="153670"/>
              <wp:effectExtent l="0" t="0" r="0" b="0"/>
              <wp:wrapSquare wrapText="bothSides"/>
              <wp:docPr id="2" name="Frame2"/>
              <a:graphic xmlns:a="http://schemas.openxmlformats.org/drawingml/2006/main">
                <a:graphicData uri="http://schemas.microsoft.com/office/word/2010/wordprocessingShape">
                  <wps:wsp>
                    <wps:cNvSpPr txBox="1"/>
                    <wps:spPr>
                      <a:xfrm>
                        <a:off x="0" y="0"/>
                        <a:ext cx="59690" cy="153670"/>
                      </a:xfrm>
                      <a:prstGeom prst="rect"/>
                      <a:solidFill>
                        <a:srgbClr val="FFFFFF">
                          <a:alpha val="0"/>
                        </a:srgbClr>
                      </a:solidFill>
                    </wps:spPr>
                    <wps:txbx>
                      <w:txbxContent>
                        <w:p>
                          <w:pPr>
                            <w:pStyle w:val="Footer"/>
                            <w:rPr/>
                          </w:pP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ii</w:t>
                          </w:r>
                          <w:r>
                            <w:rPr>
                              <w:rStyle w:val="PageNumber"/>
                              <w:sz w:val="21"/>
                            </w:rPr>
                            <w:fldChar w:fldCharType="end"/>
                          </w:r>
                        </w:p>
                      </w:txbxContent>
                    </wps:txbx>
                    <wps:bodyPr anchor="t" lIns="0" tIns="0" rIns="0" bIns="0">
                      <a:noAutofit/>
                    </wps:bodyPr>
                  </wps:wsp>
                </a:graphicData>
              </a:graphic>
            </wp:anchor>
          </w:drawing>
        </mc:Choice>
        <mc:Fallback>
          <w:pict>
            <v:rect fillcolor="#FFFFFF" style="position:absolute;rotation:-0;width:4.7pt;height:12.1pt;mso-wrap-distance-left:0pt;mso-wrap-distance-right:0pt;mso-wrap-distance-top:0pt;mso-wrap-distance-bottom:0pt;margin-top:0.05pt;mso-position-vertical-relative:text;margin-left:213.65pt;mso-position-horizontal:center;mso-position-horizontal-relative:margin">
              <v:fill opacity="0f"/>
              <v:textbox inset="0in,0in,0in,0in">
                <w:txbxContent>
                  <w:p>
                    <w:pPr>
                      <w:pStyle w:val="Footer"/>
                      <w:rPr/>
                    </w:pP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ii</w:t>
                    </w:r>
                    <w:r>
                      <w:rPr>
                        <w:rStyle w:val="PageNumber"/>
                        <w:sz w:val="21"/>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Those terms identified in this letter agreement with an asterisk (*) have the meaning defined in the MBLTPA. </w:t>
      </w:r>
    </w:p>
  </w:footnote>
  <w:footnote w:id="3">
    <w:p>
      <w:pPr>
        <w:pStyle w:val="FootnoteText"/>
        <w:rPr/>
      </w:pPr>
      <w:r>
        <w:rPr>
          <w:rStyle w:val="FootnoteCharacters"/>
        </w:rPr>
        <w:footnoteRef/>
      </w:r>
      <w:r>
        <w:rPr>
          <w:sz w:val="18"/>
        </w:rPr>
        <w:t xml:space="preserve"> </w:t>
      </w:r>
      <w:r>
        <w:rPr>
          <w:sz w:val="18"/>
        </w:rPr>
        <w:t>Fuel and L&amp;U (applicable to service on the Medicine Bow Lateral), GRI (if applicable), ACA and all other surcharges applicable to WIC’s Rate Schedule FT under WIC’s Tariff shall be payable in addition to the amount shown, except as provided in Paragraph 3 (c)(iii) of this Agreement.</w:t>
      </w:r>
    </w:p>
    <w:p>
      <w:pPr>
        <w:pStyle w:val="FootnoteText"/>
        <w:rPr>
          <w:sz w:val="18"/>
        </w:rPr>
      </w:pPr>
      <w:r>
        <w:rPr>
          <w:sz w:val="18"/>
        </w:rPr>
      </w:r>
    </w:p>
  </w:footnote>
  <w:footnote w:id="4">
    <w:p>
      <w:pPr>
        <w:pStyle w:val="FootnoteText"/>
        <w:rPr/>
      </w:pPr>
      <w:r>
        <w:rPr>
          <w:rStyle w:val="FootnoteCharacters"/>
        </w:rPr>
        <w:footnoteRef/>
      </w:r>
      <w:r>
        <w:rPr>
          <w:sz w:val="18"/>
        </w:rPr>
        <w:t xml:space="preserve"> </w:t>
      </w:r>
      <w:r>
        <w:rPr>
          <w:sz w:val="18"/>
        </w:rPr>
        <w:t xml:space="preserve">Charged and payable in reservation and commodity components.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tabs>
        <w:tab w:val="left" w:pos="720" w:leader="none"/>
      </w:tabs>
      <w:bidi w:val="0"/>
      <w:ind w:hanging="720" w:start="720" w:end="0"/>
    </w:pPr>
    <w:rPr>
      <w:rFonts w:ascii="Arial" w:hAnsi="Arial" w:eastAsia="Times New Roman" w:cs="Arial"/>
      <w:color w:val="auto"/>
      <w:sz w:val="24"/>
      <w:szCs w:val="20"/>
      <w:lang w:val="en-US" w:eastAsia="en-US" w:bidi="hi-IN"/>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2000-07-10T14:50:00Z</dcterms:created>
  <dc:creator>KOERS</dc:creator>
  <dc:description/>
  <dc:language>en-CA</dc:language>
  <cp:lastModifiedBy>roseg</cp:lastModifiedBy>
  <cp:lastPrinted>2000-07-06T17:18:00Z</cp:lastPrinted>
  <dcterms:modified xsi:type="dcterms:W3CDTF">2000-07-10T15:02:00Z</dcterms:modified>
  <cp:revision>3</cp:revision>
  <dc:subject/>
  <dc:title>DRAFT 7/7/00 12:43 PM</dc:title>
</cp:coreProperties>
</file>