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BodyText"/>
        <w:jc w:val="center"/>
        <w:rPr>
          <w:sz w:val="22"/>
        </w:rPr>
      </w:pPr>
      <w:r>
        <w:rPr>
          <w:sz w:val="22"/>
        </w:rPr>
      </w:r>
    </w:p>
    <w:p>
      <w:pPr>
        <w:pStyle w:val="VEBodyText"/>
        <w:jc w:val="center"/>
        <w:rPr>
          <w:sz w:val="22"/>
        </w:rPr>
      </w:pPr>
      <w:r>
        <w:rPr>
          <w:sz w:val="22"/>
        </w:rPr>
        <w:t>June 1, 2001</w:t>
      </w:r>
    </w:p>
    <w:p>
      <w:pPr>
        <w:pStyle w:val="VEBodyText"/>
        <w:spacing w:before="0" w:after="0"/>
        <w:jc w:val="start"/>
        <w:rPr>
          <w:sz w:val="22"/>
        </w:rPr>
      </w:pPr>
      <w:r>
        <w:rPr>
          <w:sz w:val="22"/>
        </w:rPr>
      </w:r>
    </w:p>
    <w:p>
      <w:pPr>
        <w:pStyle w:val="Normal"/>
        <w:keepNext w:val="true"/>
        <w:keepLines/>
        <w:jc w:val="both"/>
        <w:rPr>
          <w:sz w:val="22"/>
        </w:rPr>
      </w:pPr>
      <w:r>
        <w:rPr>
          <w:sz w:val="22"/>
        </w:rPr>
        <w:t>AEP Energy Services Gas Holding Company</w:t>
      </w:r>
    </w:p>
    <w:p>
      <w:pPr>
        <w:pStyle w:val="Normal"/>
        <w:keepNext w:val="true"/>
        <w:keepLines/>
        <w:jc w:val="both"/>
        <w:rPr>
          <w:sz w:val="22"/>
        </w:rPr>
      </w:pPr>
      <w:r>
        <w:rPr>
          <w:sz w:val="22"/>
        </w:rPr>
        <w:t>1 Riverside Plaza</w:t>
      </w:r>
    </w:p>
    <w:p>
      <w:pPr>
        <w:pStyle w:val="VEBodyText"/>
        <w:spacing w:before="0" w:after="0"/>
        <w:jc w:val="start"/>
        <w:rPr>
          <w:sz w:val="22"/>
        </w:rPr>
      </w:pPr>
      <w:r>
        <w:rPr>
          <w:sz w:val="22"/>
        </w:rPr>
        <w:t>Columbus, Ohio  43215</w:t>
      </w:r>
    </w:p>
    <w:p>
      <w:pPr>
        <w:pStyle w:val="VEBodyText"/>
        <w:spacing w:before="0" w:after="0"/>
        <w:jc w:val="start"/>
        <w:rPr>
          <w:sz w:val="22"/>
        </w:rPr>
      </w:pPr>
      <w:r>
        <w:rPr>
          <w:sz w:val="22"/>
        </w:rPr>
        <w:t>Attn:  Dwayne Hart</w:t>
      </w:r>
    </w:p>
    <w:p>
      <w:pPr>
        <w:pStyle w:val="VEBodyText"/>
        <w:spacing w:before="0" w:after="0"/>
        <w:jc w:val="start"/>
        <w:rPr>
          <w:sz w:val="22"/>
        </w:rPr>
      </w:pPr>
      <w:r>
        <w:rPr>
          <w:sz w:val="22"/>
        </w:rPr>
      </w:r>
    </w:p>
    <w:p>
      <w:pPr>
        <w:pStyle w:val="VEBodyText"/>
        <w:spacing w:before="0" w:after="0"/>
        <w:ind w:hanging="720" w:start="2160" w:end="0"/>
        <w:jc w:val="start"/>
        <w:rPr>
          <w:sz w:val="22"/>
        </w:rPr>
      </w:pPr>
      <w:r>
        <w:rPr>
          <w:sz w:val="22"/>
        </w:rPr>
        <w:t>Re:</w:t>
        <w:tab/>
        <w:t>Base Contract for Short-Term Sale and Purchase of Natural Gas, as amended, dated June 11, 1999, between Guadalupe Power Partners L.P. and Enron North America Corp. (the “GPP Contract”).</w:t>
      </w:r>
    </w:p>
    <w:p>
      <w:pPr>
        <w:pStyle w:val="VEBodyText"/>
        <w:spacing w:before="0" w:after="0"/>
        <w:jc w:val="start"/>
        <w:rPr>
          <w:sz w:val="22"/>
        </w:rPr>
      </w:pPr>
      <w:r>
        <w:rPr>
          <w:sz w:val="22"/>
        </w:rPr>
      </w:r>
    </w:p>
    <w:p>
      <w:pPr>
        <w:pStyle w:val="VEBodyText"/>
        <w:spacing w:before="0" w:after="0"/>
        <w:jc w:val="start"/>
        <w:rPr>
          <w:sz w:val="22"/>
        </w:rPr>
      </w:pPr>
      <w:r>
        <w:rPr>
          <w:sz w:val="22"/>
        </w:rPr>
        <w:t>Ladies and Gentlemen:</w:t>
      </w:r>
    </w:p>
    <w:p>
      <w:pPr>
        <w:pStyle w:val="VEBodyText"/>
        <w:spacing w:before="0" w:after="0"/>
        <w:jc w:val="start"/>
        <w:rPr>
          <w:sz w:val="22"/>
        </w:rPr>
      </w:pPr>
      <w:r>
        <w:rPr>
          <w:sz w:val="22"/>
        </w:rPr>
      </w:r>
    </w:p>
    <w:p>
      <w:pPr>
        <w:pStyle w:val="VEBodyText"/>
        <w:spacing w:before="0" w:after="0"/>
        <w:jc w:val="start"/>
        <w:rPr>
          <w:sz w:val="22"/>
        </w:rPr>
      </w:pPr>
      <w:r>
        <w:rPr>
          <w:sz w:val="22"/>
        </w:rPr>
        <w:tab/>
        <w:tab/>
        <w:t>This letter will confirm our agreement to enter into a Back-to-Back Agreement between Houston Pipe Line Company (“HPL”) and Enron North America Corp. (“ENA”) dated as of the date hereof (the “Agreement”) pursuant to which HPL will agree to be responsible for the performance of the GPP Contract and ENA will take all actions necessary to ensure that HPL derives the benefits of the GPP Contract.  The Agreement will, in pertinent part, provide for the following:</w:t>
      </w:r>
    </w:p>
    <w:p>
      <w:pPr>
        <w:pStyle w:val="VEBodyText"/>
        <w:spacing w:before="0" w:after="0"/>
        <w:jc w:val="start"/>
        <w:rPr>
          <w:sz w:val="22"/>
        </w:rPr>
      </w:pPr>
      <w:r>
        <w:rPr>
          <w:sz w:val="22"/>
        </w:rPr>
        <w:tab/>
      </w:r>
    </w:p>
    <w:p>
      <w:pPr>
        <w:pStyle w:val="VEBodyText"/>
        <w:spacing w:before="0" w:after="0"/>
        <w:jc w:val="start"/>
        <w:rPr>
          <w:sz w:val="22"/>
        </w:rPr>
      </w:pPr>
      <w:r>
        <w:rPr>
          <w:sz w:val="22"/>
        </w:rPr>
        <w:tab/>
        <w:t>1.</w:t>
        <w:tab/>
        <w:t>HPL shall sell to ENA and ENA shall buy all natural gas necessary for ENA to perform its obligations under the GPP Contract on terms and conditions that are identical to those of GPP Contract at the delivery points specified therein.</w:t>
      </w:r>
    </w:p>
    <w:p>
      <w:pPr>
        <w:pStyle w:val="VEBodyText"/>
        <w:spacing w:before="0" w:after="0"/>
        <w:jc w:val="start"/>
        <w:rPr>
          <w:sz w:val="22"/>
        </w:rPr>
      </w:pPr>
      <w:r>
        <w:rPr>
          <w:sz w:val="22"/>
        </w:rPr>
        <w:tab/>
      </w:r>
    </w:p>
    <w:p>
      <w:pPr>
        <w:pStyle w:val="VEBodyText"/>
        <w:spacing w:before="0" w:after="0"/>
        <w:jc w:val="start"/>
        <w:rPr>
          <w:sz w:val="22"/>
        </w:rPr>
      </w:pPr>
      <w:r>
        <w:rPr>
          <w:sz w:val="22"/>
        </w:rPr>
        <w:tab/>
        <w:t>2.</w:t>
        <w:tab/>
        <w:t>ENA shall pay to HPL all amounts received by ENA pursuant to the GPP  Contract.</w:t>
      </w:r>
    </w:p>
    <w:p>
      <w:pPr>
        <w:pStyle w:val="VEBodyText"/>
        <w:spacing w:before="0" w:after="0"/>
        <w:jc w:val="start"/>
        <w:rPr>
          <w:sz w:val="22"/>
        </w:rPr>
      </w:pPr>
      <w:r>
        <w:rPr>
          <w:sz w:val="22"/>
        </w:rPr>
      </w:r>
    </w:p>
    <w:p>
      <w:pPr>
        <w:pStyle w:val="VEBodyText"/>
        <w:spacing w:before="0" w:after="0"/>
        <w:jc w:val="start"/>
        <w:rPr>
          <w:sz w:val="22"/>
        </w:rPr>
      </w:pPr>
      <w:r>
        <w:rPr>
          <w:sz w:val="22"/>
        </w:rPr>
        <w:tab/>
        <w:t>3.</w:t>
        <w:tab/>
        <w:t>All other terms of the Agreement will be written so as to allocate to HPL, to the extent legally permissible, all benefits, rights, duties, risks and obligations of ENA under the GPP Contract.  It is the intention of the parties to put HPL in substantially the same position it would be in if the GPP Contact had been assigned to and assumed by HPL.</w:t>
      </w:r>
    </w:p>
    <w:p>
      <w:pPr>
        <w:pStyle w:val="VEBodyText"/>
        <w:spacing w:before="0" w:after="0"/>
        <w:jc w:val="start"/>
        <w:rPr>
          <w:sz w:val="22"/>
        </w:rPr>
      </w:pPr>
      <w:r>
        <w:rPr>
          <w:sz w:val="22"/>
        </w:rPr>
      </w:r>
    </w:p>
    <w:p>
      <w:pPr>
        <w:pStyle w:val="VEBodyText"/>
        <w:spacing w:before="0" w:after="0"/>
        <w:jc w:val="start"/>
        <w:rPr>
          <w:sz w:val="22"/>
        </w:rPr>
      </w:pPr>
      <w:r>
        <w:rPr>
          <w:sz w:val="22"/>
        </w:rPr>
        <w:tab/>
        <w:tab/>
        <w:t>The parties agree to negotiate in good faith a definitive agreement reflecting the above terms on or before June 15, 2001.</w:t>
      </w:r>
    </w:p>
    <w:p>
      <w:pPr>
        <w:pStyle w:val="VEBodyText"/>
        <w:spacing w:before="0" w:after="0"/>
        <w:jc w:val="start"/>
        <w:rPr>
          <w:sz w:val="22"/>
        </w:rPr>
      </w:pPr>
      <w:r>
        <w:rPr>
          <w:sz w:val="22"/>
        </w:rPr>
      </w:r>
    </w:p>
    <w:p>
      <w:pPr>
        <w:pStyle w:val="Normal"/>
        <w:ind w:firstLine="720" w:start="3600" w:end="0"/>
        <w:jc w:val="both"/>
        <w:rPr>
          <w:sz w:val="22"/>
        </w:rPr>
      </w:pPr>
      <w:r>
        <w:rPr>
          <w:sz w:val="22"/>
        </w:rPr>
        <w:t>ENRON NORTH AMERICA CORP.</w:t>
      </w:r>
    </w:p>
    <w:p>
      <w:pPr>
        <w:pStyle w:val="Normal"/>
        <w:jc w:val="both"/>
        <w:rPr>
          <w:sz w:val="22"/>
        </w:rPr>
      </w:pPr>
      <w:r>
        <w:rPr>
          <w:sz w:val="22"/>
        </w:rPr>
      </w:r>
    </w:p>
    <w:p>
      <w:pPr>
        <w:pStyle w:val="Normal"/>
        <w:jc w:val="both"/>
        <w:rPr>
          <w:sz w:val="22"/>
        </w:rPr>
      </w:pPr>
      <w:r>
        <w:rPr>
          <w:sz w:val="22"/>
        </w:rPr>
      </w:r>
    </w:p>
    <w:p>
      <w:pPr>
        <w:pStyle w:val="Normal"/>
        <w:spacing w:before="0" w:after="120"/>
        <w:jc w:val="both"/>
        <w:rPr>
          <w:sz w:val="22"/>
        </w:rPr>
      </w:pPr>
      <w:r>
        <w:rPr>
          <w:sz w:val="22"/>
        </w:rPr>
        <w:tab/>
        <w:tab/>
        <w:tab/>
        <w:tab/>
        <w:tab/>
        <w:tab/>
        <w:t>By:</w:t>
      </w:r>
      <w:r>
        <w:rPr>
          <w:sz w:val="22"/>
          <w:u w:val="single"/>
        </w:rPr>
        <w:tab/>
        <w:tab/>
        <w:tab/>
        <w:tab/>
        <w:tab/>
        <w:tab/>
        <w:tab/>
      </w:r>
    </w:p>
    <w:p>
      <w:pPr>
        <w:pStyle w:val="Normal"/>
        <w:spacing w:before="0" w:after="120"/>
        <w:jc w:val="both"/>
        <w:rPr>
          <w:sz w:val="22"/>
        </w:rPr>
      </w:pPr>
      <w:r>
        <w:rPr>
          <w:sz w:val="22"/>
        </w:rPr>
        <w:tab/>
        <w:tab/>
        <w:tab/>
        <w:tab/>
        <w:tab/>
        <w:tab/>
        <w:t>Name:</w:t>
      </w:r>
      <w:r>
        <w:rPr>
          <w:sz w:val="22"/>
          <w:u w:val="single"/>
        </w:rPr>
        <w:tab/>
        <w:tab/>
        <w:tab/>
        <w:tab/>
        <w:tab/>
        <w:tab/>
        <w:tab/>
      </w:r>
    </w:p>
    <w:p>
      <w:pPr>
        <w:pStyle w:val="Normal"/>
        <w:jc w:val="both"/>
        <w:rPr/>
      </w:pPr>
      <w:r>
        <w:rPr>
          <w:sz w:val="22"/>
        </w:rPr>
        <w:tab/>
        <w:tab/>
        <w:tab/>
        <w:tab/>
        <w:tab/>
        <w:tab/>
        <w:t>Title:</w:t>
      </w:r>
      <w:r>
        <w:rPr>
          <w:sz w:val="22"/>
          <w:u w:val="single"/>
        </w:rPr>
        <w:tab/>
        <w:tab/>
        <w:tab/>
        <w:tab/>
        <w:tab/>
        <w:tab/>
        <w:tab/>
      </w:r>
    </w:p>
    <w:p>
      <w:pPr>
        <w:pStyle w:val="Normal"/>
        <w:jc w:val="both"/>
        <w:rPr>
          <w:sz w:val="22"/>
          <w:u w:val="single"/>
        </w:rPr>
      </w:pPr>
      <w:r>
        <w:rPr>
          <w:sz w:val="22"/>
          <w:u w:val="single"/>
        </w:rPr>
      </w:r>
    </w:p>
    <w:p>
      <w:pPr>
        <w:pStyle w:val="Normal"/>
        <w:jc w:val="both"/>
        <w:rPr>
          <w:sz w:val="22"/>
        </w:rPr>
      </w:pPr>
      <w:r>
        <w:rPr>
          <w:sz w:val="22"/>
        </w:rPr>
        <w:t>AGREED TO AND ACCEPTED this ___ day of June, 2001.</w:t>
      </w:r>
    </w:p>
    <w:p>
      <w:pPr>
        <w:pStyle w:val="Normal"/>
        <w:jc w:val="both"/>
        <w:rPr>
          <w:sz w:val="22"/>
        </w:rPr>
      </w:pPr>
      <w:r>
        <w:rPr>
          <w:sz w:val="22"/>
        </w:rPr>
      </w:r>
    </w:p>
    <w:p>
      <w:pPr>
        <w:pStyle w:val="Normal"/>
        <w:jc w:val="both"/>
        <w:rPr>
          <w:sz w:val="22"/>
        </w:rPr>
      </w:pPr>
      <w:r>
        <w:rPr>
          <w:sz w:val="22"/>
        </w:rPr>
        <w:t>AEP ENERGY SERVICES GAS HOLDING COMPANY</w:t>
      </w:r>
    </w:p>
    <w:p>
      <w:pPr>
        <w:pStyle w:val="Normal"/>
        <w:jc w:val="both"/>
        <w:rPr>
          <w:sz w:val="22"/>
        </w:rPr>
      </w:pPr>
      <w:r>
        <w:rPr>
          <w:sz w:val="22"/>
        </w:rPr>
      </w:r>
    </w:p>
    <w:p>
      <w:pPr>
        <w:pStyle w:val="Normal"/>
        <w:jc w:val="both"/>
        <w:rPr>
          <w:sz w:val="22"/>
        </w:rPr>
      </w:pPr>
      <w:r>
        <w:rPr>
          <w:sz w:val="22"/>
        </w:rPr>
      </w:r>
    </w:p>
    <w:p>
      <w:pPr>
        <w:pStyle w:val="Normal"/>
        <w:spacing w:before="0" w:after="120"/>
        <w:jc w:val="both"/>
        <w:rPr>
          <w:sz w:val="22"/>
        </w:rPr>
      </w:pPr>
      <w:r>
        <w:rPr>
          <w:sz w:val="22"/>
        </w:rPr>
        <w:t>By:</w:t>
      </w:r>
      <w:r>
        <w:rPr>
          <w:sz w:val="22"/>
          <w:u w:val="single"/>
        </w:rPr>
        <w:tab/>
        <w:tab/>
        <w:tab/>
        <w:tab/>
        <w:tab/>
        <w:tab/>
        <w:tab/>
      </w:r>
    </w:p>
    <w:p>
      <w:pPr>
        <w:pStyle w:val="Normal"/>
        <w:spacing w:before="0" w:after="120"/>
        <w:jc w:val="both"/>
        <w:rPr>
          <w:sz w:val="22"/>
        </w:rPr>
      </w:pPr>
      <w:r>
        <w:rPr>
          <w:sz w:val="22"/>
        </w:rPr>
        <w:t>Name:</w:t>
      </w:r>
      <w:r>
        <w:rPr>
          <w:sz w:val="22"/>
          <w:u w:val="single"/>
        </w:rPr>
        <w:tab/>
        <w:tab/>
        <w:tab/>
        <w:tab/>
        <w:tab/>
        <w:tab/>
        <w:tab/>
      </w:r>
    </w:p>
    <w:p>
      <w:pPr>
        <w:pStyle w:val="Normal"/>
        <w:jc w:val="both"/>
        <w:rPr/>
      </w:pPr>
      <w:r>
        <w:rPr>
          <w:sz w:val="22"/>
        </w:rPr>
        <w:t>Title:</w:t>
      </w:r>
      <w:r>
        <w:rPr>
          <w:sz w:val="22"/>
          <w:u w:val="single"/>
        </w:rPr>
        <w:tab/>
        <w:tab/>
        <w:tab/>
        <w:tab/>
        <w:tab/>
        <w:tab/>
        <w:tab/>
      </w:r>
    </w:p>
    <w:sectPr>
      <w:footerReference w:type="default" r:id="rId2"/>
      <w:type w:val="nextPage"/>
      <w:pgSz w:w="12240" w:h="15840"/>
      <w:pgMar w:left="1440" w:right="144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Enron__letter_re_back_to_back_agreement.DOC</w:t>
    </w:r>
    <w:r>
      <w:rPr>
        <w:rStyle w:val="VEDocumentInformatio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6">
    <w:lvl w:ilvl="0">
      <w:start w:val="1"/>
      <w:numFmt w:val="decimal"/>
      <w:lvlText w:val=" %1"/>
      <w:lvlJc w:val="start"/>
      <w:pPr>
        <w:tabs>
          <w:tab w:val="num" w:pos="0"/>
        </w:tabs>
        <w:ind w:start="0" w:hanging="0"/>
      </w:pPr>
    </w:lvl>
    <w:lvl w:ilvl="1">
      <w:start w:val="1"/>
      <w:isLgl/>
      <w:numFmt w:val="decimal"/>
      <w:lvlText w:val="%1.%2"/>
      <w:lvlJc w:val="start"/>
      <w:pPr>
        <w:tabs>
          <w:tab w:val="num" w:pos="0"/>
        </w:tabs>
        <w:ind w:start="0" w:firstLine="720"/>
      </w:pPr>
    </w:lvl>
    <w:lvl w:ilvl="2">
      <w:start w:val="1"/>
      <w:isLgl/>
      <w:numFmt w:val="decimal"/>
      <w:lvlText w:val="%1.%2.%3"/>
      <w:lvlJc w:val="start"/>
      <w:pPr>
        <w:tabs>
          <w:tab w:val="num" w:pos="0"/>
        </w:tabs>
        <w:ind w:start="0" w:firstLine="1440"/>
      </w:pPr>
    </w:lvl>
    <w:lvl w:ilvl="3">
      <w:start w:val="1"/>
      <w:isLgl/>
      <w:numFmt w:val="decimal"/>
      <w:lvlText w:val="%1.%2.%3.%4"/>
      <w:lvlJc w:val="start"/>
      <w:pPr>
        <w:tabs>
          <w:tab w:val="num" w:pos="0"/>
        </w:tabs>
        <w:ind w:start="0" w:firstLine="2160"/>
      </w:pPr>
    </w:lvl>
    <w:lvl w:ilvl="4">
      <w:start w:val="1"/>
      <w:isLgl/>
      <w:numFmt w:val="decimal"/>
      <w:lvlText w:val="%1.%2.%3.%4.%5"/>
      <w:lvlJc w:val="start"/>
      <w:pPr>
        <w:tabs>
          <w:tab w:val="num" w:pos="0"/>
        </w:tabs>
        <w:ind w:start="0" w:firstLine="2880"/>
      </w:pPr>
    </w:lvl>
    <w:lvl w:ilvl="5">
      <w:start w:val="1"/>
      <w:isLgl/>
      <w:numFmt w:val="decimal"/>
      <w:lvlText w:val="%1.%2.%3.%4.%5.%6"/>
      <w:lvlJc w:val="start"/>
      <w:pPr>
        <w:tabs>
          <w:tab w:val="num" w:pos="0"/>
        </w:tabs>
        <w:ind w:start="0" w:firstLine="3600"/>
      </w:pPr>
    </w:lvl>
    <w:lvl w:ilvl="6">
      <w:start w:val="1"/>
      <w:isLgl/>
      <w:numFmt w:val="decimal"/>
      <w:lvlText w:val="%1.%2.%3.%4.%5.%6.%7"/>
      <w:lvlJc w:val="start"/>
      <w:pPr>
        <w:tabs>
          <w:tab w:val="num" w:pos="0"/>
        </w:tabs>
        <w:ind w:start="0" w:firstLine="4320"/>
      </w:pPr>
    </w:lvl>
    <w:lvl w:ilvl="7">
      <w:start w:val="1"/>
      <w:isLgl/>
      <w:numFmt w:val="decimal"/>
      <w:lvlText w:val="%1.%2.%3.%4.%5.%6.%7.%8"/>
      <w:lvlJc w:val="start"/>
      <w:pPr>
        <w:tabs>
          <w:tab w:val="num" w:pos="0"/>
        </w:tabs>
        <w:ind w:start="0" w:firstLine="5040"/>
      </w:pPr>
    </w:lvl>
    <w:lvl w:ilvl="8">
      <w:start w:val="1"/>
      <w:isLgl/>
      <w:numFmt w:val="decimal"/>
      <w:lvlText w:val="%1.%2.%3.%4.%5.%6.%7.%8.%9"/>
      <w:lvlJc w:val="start"/>
      <w:pPr>
        <w:tabs>
          <w:tab w:val="num" w:pos="0"/>
        </w:tabs>
        <w:ind w:start="0" w:firstLine="5760"/>
      </w:pPr>
    </w:lvl>
  </w:abstractNum>
  <w:abstractNum w:abstractNumId="7">
    <w:lvl w:ilvl="0">
      <w:start w:val="1"/>
      <w:numFmt w:val="bullet"/>
      <w:lvlText w:val=""/>
      <w:lvlJc w:val="start"/>
      <w:pPr>
        <w:tabs>
          <w:tab w:val="num" w:pos="1440"/>
        </w:tabs>
        <w:ind w:start="1440" w:hanging="72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6z8">
    <w:name w:val="WW8Num16z8"/>
    <w:qFormat/>
    <w:rPr>
      <w:rFonts w:ascii="Symbol" w:hAnsi="Symbol" w:cs="Symbol"/>
      <w:color w:val="000000"/>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1"/>
      </w:numPr>
      <w:tabs>
        <w:tab w:val="clear" w:pos="720"/>
      </w:tabs>
      <w:spacing w:before="0" w:after="240"/>
    </w:pPr>
    <w:rPr/>
  </w:style>
  <w:style w:type="paragraph" w:styleId="VEABCList">
    <w:name w:val="VE ABC List"/>
    <w:basedOn w:val="VENormal"/>
    <w:qFormat/>
    <w:pPr>
      <w:numPr>
        <w:ilvl w:val="0"/>
        <w:numId w:val="4"/>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7"/>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6"/>
      </w:numPr>
      <w:spacing w:before="0" w:after="240"/>
      <w:outlineLvl w:val="0"/>
    </w:pPr>
    <w:rPr>
      <w:bCs/>
    </w:rPr>
  </w:style>
  <w:style w:type="paragraph" w:styleId="VENumbered2">
    <w:name w:val="VE Numbered 2"/>
    <w:basedOn w:val="VENormal"/>
    <w:next w:val="VEBodyTextFLI"/>
    <w:qFormat/>
    <w:pPr>
      <w:numPr>
        <w:ilvl w:val="0"/>
        <w:numId w:val="6"/>
      </w:numPr>
      <w:spacing w:before="0" w:after="240"/>
      <w:outlineLvl w:val="1"/>
    </w:pPr>
    <w:rPr/>
  </w:style>
  <w:style w:type="paragraph" w:styleId="VENumbered3">
    <w:name w:val="VE Numbered 3"/>
    <w:basedOn w:val="VENormal"/>
    <w:next w:val="VEBodyTextFLI"/>
    <w:qFormat/>
    <w:pPr>
      <w:numPr>
        <w:ilvl w:val="0"/>
        <w:numId w:val="6"/>
      </w:numPr>
      <w:spacing w:before="0" w:after="240"/>
      <w:outlineLvl w:val="2"/>
    </w:pPr>
    <w:rPr/>
  </w:style>
  <w:style w:type="paragraph" w:styleId="VENumbered4">
    <w:name w:val="VE Numbered 4"/>
    <w:basedOn w:val="VENormal"/>
    <w:next w:val="VEBodyTextFLI"/>
    <w:qFormat/>
    <w:pPr>
      <w:numPr>
        <w:ilvl w:val="0"/>
        <w:numId w:val="6"/>
      </w:numPr>
      <w:spacing w:before="0" w:after="240"/>
      <w:outlineLvl w:val="3"/>
    </w:pPr>
    <w:rPr/>
  </w:style>
  <w:style w:type="paragraph" w:styleId="VENumbered5">
    <w:name w:val="VE Numbered 5"/>
    <w:basedOn w:val="VENormal"/>
    <w:next w:val="VEBodyTextFLI"/>
    <w:qFormat/>
    <w:pPr>
      <w:numPr>
        <w:ilvl w:val="0"/>
        <w:numId w:val="6"/>
      </w:numPr>
      <w:spacing w:before="0" w:after="240"/>
      <w:outlineLvl w:val="4"/>
    </w:pPr>
    <w:rPr/>
  </w:style>
  <w:style w:type="paragraph" w:styleId="VENumbered6">
    <w:name w:val="VE Numbered 6"/>
    <w:basedOn w:val="VENormal"/>
    <w:next w:val="VEBodyTextFLI"/>
    <w:qFormat/>
    <w:pPr>
      <w:numPr>
        <w:ilvl w:val="0"/>
        <w:numId w:val="6"/>
      </w:numPr>
      <w:spacing w:before="0" w:after="240"/>
      <w:outlineLvl w:val="5"/>
    </w:pPr>
    <w:rPr/>
  </w:style>
  <w:style w:type="paragraph" w:styleId="VENumbered7">
    <w:name w:val="VE Numbered 7"/>
    <w:basedOn w:val="VENormal"/>
    <w:next w:val="VEBodyTextFLI"/>
    <w:qFormat/>
    <w:pPr>
      <w:numPr>
        <w:ilvl w:val="0"/>
        <w:numId w:val="6"/>
      </w:numPr>
      <w:spacing w:before="0" w:after="240"/>
      <w:outlineLvl w:val="6"/>
    </w:pPr>
    <w:rPr/>
  </w:style>
  <w:style w:type="paragraph" w:styleId="VENumbered8">
    <w:name w:val="VE Numbered 8"/>
    <w:basedOn w:val="VENormal"/>
    <w:next w:val="VEBodyTextFLI"/>
    <w:qFormat/>
    <w:pPr>
      <w:numPr>
        <w:ilvl w:val="0"/>
        <w:numId w:val="6"/>
      </w:numPr>
      <w:spacing w:before="0" w:after="240"/>
      <w:outlineLvl w:val="7"/>
    </w:pPr>
    <w:rPr/>
  </w:style>
  <w:style w:type="paragraph" w:styleId="VENumbered9">
    <w:name w:val="VE Numbered 9"/>
    <w:basedOn w:val="VENormal"/>
    <w:next w:val="VEBodyTextFLI"/>
    <w:qFormat/>
    <w:pPr>
      <w:numPr>
        <w:ilvl w:val="0"/>
        <w:numId w:val="6"/>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5"/>
      </w:numPr>
      <w:spacing w:before="0" w:after="240"/>
      <w:ind w:hanging="0" w:start="0" w:end="0"/>
      <w:jc w:val="start"/>
    </w:pPr>
    <w:rPr/>
  </w:style>
  <w:style w:type="paragraph" w:styleId="VESchedule2">
    <w:name w:val="VE Schedule 2"/>
    <w:basedOn w:val="VENormal"/>
    <w:next w:val="VEBodyTextFLI"/>
    <w:qFormat/>
    <w:pPr>
      <w:numPr>
        <w:ilvl w:val="0"/>
        <w:numId w:val="5"/>
      </w:numPr>
      <w:tabs>
        <w:tab w:val="clear" w:pos="720"/>
      </w:tabs>
      <w:spacing w:before="0" w:after="240"/>
      <w:ind w:hanging="0" w:start="0" w:end="0"/>
    </w:pPr>
    <w:rPr/>
  </w:style>
  <w:style w:type="paragraph" w:styleId="VESchedule3">
    <w:name w:val="VE Schedule 3"/>
    <w:basedOn w:val="VENormal"/>
    <w:next w:val="VEBodyTextFLI"/>
    <w:qFormat/>
    <w:pPr>
      <w:numPr>
        <w:ilvl w:val="0"/>
        <w:numId w:val="5"/>
      </w:numPr>
      <w:tabs>
        <w:tab w:val="clear" w:pos="720"/>
      </w:tabs>
      <w:spacing w:before="0" w:after="240"/>
      <w:ind w:hanging="0" w:start="0" w:end="0"/>
    </w:pPr>
    <w:rPr/>
  </w:style>
  <w:style w:type="paragraph" w:styleId="VESchedule4">
    <w:name w:val="VE Schedule 4"/>
    <w:basedOn w:val="VENormal"/>
    <w:next w:val="VEBodyTextFLI"/>
    <w:qFormat/>
    <w:pPr>
      <w:numPr>
        <w:ilvl w:val="0"/>
        <w:numId w:val="5"/>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2001-06-01T17:44:00Z</dcterms:created>
  <dc:creator>Vinson &amp; Elkins</dc:creator>
  <dc:description/>
  <dc:language>en-CA</dc:language>
  <cp:lastModifiedBy>Vinson &amp; Elkins</cp:lastModifiedBy>
  <cp:lastPrinted>2001-06-01T15:14:00Z</cp:lastPrinted>
  <dcterms:modified xsi:type="dcterms:W3CDTF">2001-06-01T17:44:00Z</dcterms:modified>
  <cp:revision>2</cp:revision>
  <dc:subject/>
  <dc:title>June 1, 2001</dc:title>
</cp:coreProperties>
</file>