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r>
    </w:p>
    <w:p>
      <w:pPr>
        <w:pStyle w:val="Normal"/>
        <w:jc w:val="center"/>
        <w:rPr>
          <w:b/>
          <w:bCs/>
        </w:rPr>
      </w:pPr>
      <w:r>
        <w:rPr>
          <w:b/>
          <w:bCs/>
        </w:rPr>
      </w:r>
    </w:p>
    <w:p>
      <w:pPr>
        <w:pStyle w:val="Normal"/>
        <w:rPr>
          <w:b/>
          <w:bCs/>
        </w:rPr>
      </w:pPr>
      <w:r>
        <w:rPr>
          <w:b/>
          <w:bCs/>
        </w:rPr>
      </w:r>
    </w:p>
    <w:p>
      <w:pPr>
        <w:pStyle w:val="Normal"/>
        <w:jc w:val="center"/>
        <w:rPr>
          <w:b/>
          <w:bCs/>
        </w:rPr>
      </w:pPr>
      <w:r>
        <w:rPr>
          <w:b/>
          <w:bCs/>
        </w:rPr>
        <w:t>SELECTED EXAMPLES OF RFF IN THE POLICY PROCESS</w:t>
      </w:r>
    </w:p>
    <w:p>
      <w:pPr>
        <w:pStyle w:val="Normal"/>
        <w:rPr>
          <w:b/>
          <w:bCs/>
        </w:rPr>
      </w:pPr>
      <w:r>
        <w:rPr>
          <w:b/>
          <w:bCs/>
        </w:rPr>
      </w:r>
    </w:p>
    <w:p>
      <w:pPr>
        <w:pStyle w:val="Normal"/>
        <w:ind w:firstLine="720" w:end="0"/>
        <w:rPr/>
      </w:pPr>
      <w:r>
        <w:rPr/>
        <w:t>Resources for the Future (RFF) improves environmental and natural resource policymaking worldwide through objective social science research of the highest caliber.  The following selected examples from the past twelve months illustrate how RFF researchers work to influence policy on a wide range of important environmental issues.</w:t>
      </w:r>
    </w:p>
    <w:p>
      <w:pPr>
        <w:pStyle w:val="Normal"/>
        <w:rPr/>
      </w:pPr>
      <w:r>
        <w:rPr/>
      </w:r>
    </w:p>
    <w:p>
      <w:pPr>
        <w:pStyle w:val="Normal"/>
        <w:numPr>
          <w:ilvl w:val="0"/>
          <w:numId w:val="1"/>
        </w:numPr>
        <w:tabs>
          <w:tab w:val="clear" w:pos="720"/>
          <w:tab w:val="left" w:pos="360" w:leader="none"/>
        </w:tabs>
        <w:rPr/>
      </w:pPr>
      <w:r>
        <w:rPr/>
        <w:t>Senior Fellow Kate Probst recently completed a Congressionally</w:t>
        <w:noBreakHyphen/>
        <w:t xml:space="preserve">mandated report examining the future annual and cumulative costs of the Superfund program. She presented the findings to the Environmental Protection Agency (EPA), Office of Management and Budget (OMB), House Energy &amp; Commerce and Transportation &amp; Infrastructure Committees, Senate Environment &amp; Public Works Committee, the Business Roundtable's Environment Committee, and interested stakeholders.  The report was covered by the Associated Press, Gannett, CNN, </w:t>
      </w:r>
      <w:r>
        <w:rPr>
          <w:i/>
          <w:iCs/>
        </w:rPr>
        <w:t>The Washington Post</w:t>
      </w:r>
      <w:r>
        <w:rPr/>
        <w:t xml:space="preserve">, and </w:t>
      </w:r>
      <w:r>
        <w:rPr>
          <w:i/>
          <w:iCs/>
        </w:rPr>
        <w:t>USA Today</w:t>
      </w:r>
      <w:r>
        <w:rPr/>
        <w:t xml:space="preserve">.  Kate Probst was also interviewed on C-SPAN and National Public Radio. </w:t>
      </w:r>
    </w:p>
    <w:p>
      <w:pPr>
        <w:pStyle w:val="Normal"/>
        <w:ind w:start="385" w:end="0"/>
        <w:rPr/>
      </w:pPr>
      <w:r>
        <w:rPr/>
      </w:r>
    </w:p>
    <w:p>
      <w:pPr>
        <w:pStyle w:val="Normal"/>
        <w:numPr>
          <w:ilvl w:val="0"/>
          <w:numId w:val="1"/>
        </w:numPr>
        <w:rPr/>
      </w:pPr>
      <w:r>
        <w:rPr/>
        <w:t>President and Senior Fellow Paul Portney serves as the chair of the National Academy of Science's (NAS) National Research Council's Committee on Effectiveness and Impact of Corporate Average Fuel Economy (CAFE) Standards. The Committee will release its findings on July 31 and Portney is scheduled to conduct a number of Senate and House briefings.</w:t>
      </w:r>
    </w:p>
    <w:p>
      <w:pPr>
        <w:pStyle w:val="Normal"/>
        <w:ind w:start="385" w:end="0"/>
        <w:rPr/>
      </w:pPr>
      <w:r>
        <w:rPr/>
      </w:r>
    </w:p>
    <w:p>
      <w:pPr>
        <w:pStyle w:val="Normal"/>
        <w:numPr>
          <w:ilvl w:val="0"/>
          <w:numId w:val="1"/>
        </w:numPr>
        <w:tabs>
          <w:tab w:val="clear" w:pos="720"/>
          <w:tab w:val="left" w:pos="360" w:leader="none"/>
        </w:tabs>
        <w:rPr/>
      </w:pPr>
      <w:r>
        <w:rPr/>
        <w:t>RFF researchers presented a proposal for international carbon trading and cost containment to the international negotiators at the Sixth Conference of the Parties meeting at The Hague in November 2000. Language, influenced by the RFF</w:t>
        <w:noBreakHyphen/>
        <w:t>generated proposal, was introduced (in brackets) in the compliance section of the formal negotiating text.</w:t>
      </w:r>
    </w:p>
    <w:p>
      <w:pPr>
        <w:pStyle w:val="Normal"/>
        <w:ind w:start="385" w:end="0"/>
        <w:rPr/>
      </w:pPr>
      <w:r>
        <w:rPr/>
      </w:r>
    </w:p>
    <w:p>
      <w:pPr>
        <w:pStyle w:val="Normal"/>
        <w:numPr>
          <w:ilvl w:val="0"/>
          <w:numId w:val="1"/>
        </w:numPr>
        <w:rPr/>
      </w:pPr>
      <w:r>
        <w:rPr/>
        <w:t>Senior Fellows Dallas Burtraw and Karen Palmer have given presentations on "The Effect of Allowance Allocation on the Cost and Efficiency of Carbon Emission Trading" to the Congressional Budget Office, Environmental Protection Agency, Department of Energy, Senate and House Committee staff, Duke Energy, Exelon Corporation, Clear the Air (environmental group coalition), Clean Energy Group (energy company coalition), Americans for Equitable Climate Solutions, and Ohio State University Environmental Policy Conference. Additional briefings are also planned.</w:t>
      </w:r>
    </w:p>
    <w:p>
      <w:pPr>
        <w:pStyle w:val="Normal"/>
        <w:ind w:start="385" w:end="0"/>
        <w:rPr/>
      </w:pPr>
      <w:r>
        <w:rPr/>
      </w:r>
    </w:p>
    <w:p>
      <w:pPr>
        <w:pStyle w:val="Normal"/>
        <w:numPr>
          <w:ilvl w:val="0"/>
          <w:numId w:val="1"/>
        </w:numPr>
        <w:tabs>
          <w:tab w:val="clear" w:pos="720"/>
          <w:tab w:val="left" w:pos="360" w:leader="none"/>
        </w:tabs>
        <w:rPr/>
      </w:pPr>
      <w:r>
        <w:rPr/>
        <w:t>Senior Fellow Joel Darmstadter testified on "The Role of Renewable Resources in U.S. Electricity Generation" to the House Committee on Science in February 2001. In his presentation, he discussed the emerging and prospective contribution of renewables to electric power generation.</w:t>
      </w:r>
    </w:p>
    <w:p>
      <w:pPr>
        <w:pStyle w:val="Normal"/>
        <w:ind w:start="385" w:end="0"/>
        <w:rPr/>
      </w:pPr>
      <w:r>
        <w:rPr/>
      </w:r>
    </w:p>
    <w:p>
      <w:pPr>
        <w:pStyle w:val="Normal"/>
        <w:numPr>
          <w:ilvl w:val="0"/>
          <w:numId w:val="1"/>
        </w:numPr>
        <w:rPr/>
      </w:pPr>
      <w:r>
        <w:rPr/>
        <w:t>Senior Fellow Molly Macauley prepared testimony on "The Economics of Satellite Solar Power" for the Subcommittee on Space and Aeronautics, House Committee on Science in September 2000.</w:t>
      </w:r>
    </w:p>
    <w:p>
      <w:pPr>
        <w:pStyle w:val="Normal"/>
        <w:rPr/>
      </w:pPr>
      <w:r>
        <w:rPr/>
      </w:r>
    </w:p>
    <w:p>
      <w:pPr>
        <w:pStyle w:val="Normal"/>
        <w:numPr>
          <w:ilvl w:val="0"/>
          <w:numId w:val="1"/>
        </w:numPr>
        <w:rPr/>
      </w:pPr>
      <w:r>
        <w:rPr/>
        <w:t>In July 2001, Fellow Billy Pizer began a one</w:t>
        <w:noBreakHyphen/>
        <w:t>year leave of absence from RFF to serve at the White House's Council of Economic Advisors as the Senior Economist for the environment and climate portfolio.</w:t>
      </w:r>
    </w:p>
    <w:p>
      <w:pPr>
        <w:pStyle w:val="Normal"/>
        <w:ind w:start="385" w:end="0"/>
        <w:rPr/>
      </w:pPr>
      <w:r>
        <w:rPr/>
      </w:r>
    </w:p>
    <w:p>
      <w:pPr>
        <w:pStyle w:val="Normal"/>
        <w:numPr>
          <w:ilvl w:val="0"/>
          <w:numId w:val="1"/>
        </w:numPr>
        <w:rPr/>
      </w:pPr>
      <w:r>
        <w:rPr/>
        <w:t>Senior Vice President Ray Kopp and Communications Director Jonathan Halperin briefed the House Science and Energy &amp; Commerce Committees on RFF’s current research agenda.</w:t>
      </w:r>
    </w:p>
    <w:p>
      <w:pPr>
        <w:pStyle w:val="Normal"/>
        <w:ind w:start="385" w:end="0"/>
        <w:rPr/>
      </w:pPr>
      <w:r>
        <w:rPr/>
      </w:r>
    </w:p>
    <w:p>
      <w:pPr>
        <w:pStyle w:val="Normal"/>
        <w:numPr>
          <w:ilvl w:val="0"/>
          <w:numId w:val="1"/>
        </w:numPr>
        <w:rPr/>
      </w:pPr>
      <w:r>
        <w:rPr/>
        <w:t>President Paul Portney and Resident Scholar Howard Gruenspecht briefed the House Democratic Budget Group in May 2001 on energy policy. The 20 Members and 40 staffers heard presentations and asked questions on issues concerning gasoline, oil, natural gas, and electricity.</w:t>
      </w:r>
    </w:p>
    <w:p>
      <w:pPr>
        <w:pStyle w:val="Normal"/>
        <w:ind w:start="385" w:end="0"/>
        <w:rPr/>
      </w:pPr>
      <w:r>
        <w:rPr/>
      </w:r>
    </w:p>
    <w:p>
      <w:pPr>
        <w:pStyle w:val="Normal"/>
        <w:numPr>
          <w:ilvl w:val="0"/>
          <w:numId w:val="1"/>
        </w:numPr>
        <w:rPr/>
      </w:pPr>
      <w:r>
        <w:rPr/>
        <w:t>RFF researchers have been invited to participate this summer in the National Electronics Product Stewardship Initiative, which will develop a national financing system for collection and recycling of electronics. The initiative is hosted by EPA and includes representatives from the electronics industry, state and local government, and nonprofits.</w:t>
      </w:r>
    </w:p>
    <w:p>
      <w:pPr>
        <w:pStyle w:val="Normal"/>
        <w:ind w:start="385" w:end="0"/>
        <w:rPr/>
      </w:pPr>
      <w:r>
        <w:rPr/>
      </w:r>
    </w:p>
    <w:p>
      <w:pPr>
        <w:pStyle w:val="Normal"/>
        <w:numPr>
          <w:ilvl w:val="0"/>
          <w:numId w:val="1"/>
        </w:numPr>
        <w:rPr/>
      </w:pPr>
      <w:r>
        <w:rPr/>
        <w:t>Senior Fellow Mike Taylor gave a presentation to the World Health Organization's (WHO) Food Safety Programme director and staff on strategic opportunities to improve the WHO food safety program.</w:t>
      </w:r>
    </w:p>
    <w:p>
      <w:pPr>
        <w:pStyle w:val="Normal"/>
        <w:ind w:start="385" w:end="0"/>
        <w:rPr/>
      </w:pPr>
      <w:r>
        <w:rPr/>
      </w:r>
    </w:p>
    <w:p>
      <w:pPr>
        <w:pStyle w:val="Normal"/>
        <w:numPr>
          <w:ilvl w:val="0"/>
          <w:numId w:val="1"/>
        </w:numPr>
        <w:rPr/>
      </w:pPr>
      <w:r>
        <w:rPr/>
        <w:t>RFF hosted a “Setting Food Safety Priorities: Toward a Risk-Based System” conference that attracted approximately 100 government officials from the U.S. Department of Agriculture, Federal Drug Administration, Centers for Disease Control, Joint Institute for Food Safety Research, Environmental Protection Agency, General Accounting Office, and OMB in May 2001.  Mike Taylor will also be testifying before Congress on an integrated risk-based food safety system in August.</w:t>
      </w:r>
    </w:p>
    <w:p>
      <w:pPr>
        <w:pStyle w:val="Normal"/>
        <w:ind w:start="385" w:end="0"/>
        <w:rPr/>
      </w:pPr>
      <w:r>
        <w:rPr/>
      </w:r>
    </w:p>
    <w:p>
      <w:pPr>
        <w:pStyle w:val="Normal"/>
        <w:numPr>
          <w:ilvl w:val="0"/>
          <w:numId w:val="1"/>
        </w:numPr>
        <w:rPr/>
      </w:pPr>
      <w:r>
        <w:rPr/>
        <w:t>Kate Probst briefed the new Department of Energy Under Secretary, Bob Card, on issues relating to improving the structure of the environmental management program.</w:t>
      </w:r>
    </w:p>
    <w:p>
      <w:pPr>
        <w:pStyle w:val="Normal"/>
        <w:ind w:start="385" w:end="0"/>
        <w:rPr/>
      </w:pPr>
      <w:r>
        <w:rPr/>
      </w:r>
    </w:p>
    <w:p>
      <w:pPr>
        <w:pStyle w:val="Normal"/>
        <w:numPr>
          <w:ilvl w:val="0"/>
          <w:numId w:val="1"/>
        </w:numPr>
        <w:rPr/>
      </w:pPr>
      <w:r>
        <w:rPr/>
        <w:t>In March 2001, Fellow Jim Sanchirico participated in a roundtable discussion sponsored by the National Oceanic and Atmospheric Administration on the role of Marine Protected Areas along the west coast of the United States.</w:t>
      </w:r>
    </w:p>
    <w:p>
      <w:pPr>
        <w:pStyle w:val="Normal"/>
        <w:ind w:start="385" w:end="0"/>
        <w:rPr/>
      </w:pPr>
      <w:r>
        <w:rPr/>
      </w:r>
    </w:p>
    <w:p>
      <w:pPr>
        <w:pStyle w:val="Normal"/>
        <w:numPr>
          <w:ilvl w:val="0"/>
          <w:numId w:val="1"/>
        </w:numPr>
        <w:rPr/>
      </w:pPr>
      <w:r>
        <w:rPr/>
        <w:t>Jim Sanchirico also gave a lecture to the U.S. State Department's Foreign Service Institute on fishery economics and policy in December 2000.</w:t>
      </w:r>
    </w:p>
    <w:p>
      <w:pPr>
        <w:pStyle w:val="Normal"/>
        <w:ind w:start="385" w:end="0"/>
        <w:rPr/>
      </w:pPr>
      <w:r>
        <w:rPr/>
      </w:r>
    </w:p>
    <w:p>
      <w:pPr>
        <w:pStyle w:val="Normal"/>
        <w:numPr>
          <w:ilvl w:val="0"/>
          <w:numId w:val="1"/>
        </w:numPr>
        <w:rPr/>
      </w:pPr>
      <w:r>
        <w:rPr/>
        <w:t>Resident Scholar Howard Gruenspecht led a roundtable discussion on energy issues at a retreat for Congressional Committee Chiefs of Staff in January 2001.</w:t>
      </w:r>
    </w:p>
    <w:p>
      <w:pPr>
        <w:pStyle w:val="Normal"/>
        <w:ind w:start="385" w:end="0"/>
        <w:rPr/>
      </w:pPr>
      <w:r>
        <w:rPr/>
      </w:r>
    </w:p>
    <w:p>
      <w:pPr>
        <w:pStyle w:val="Normal"/>
        <w:numPr>
          <w:ilvl w:val="0"/>
          <w:numId w:val="1"/>
        </w:numPr>
        <w:rPr/>
      </w:pPr>
      <w:r>
        <w:rPr/>
        <w:t>Howard Gruenspecht and Senior Fellow Karen Palmer were instructors at a half</w:t>
        <w:noBreakHyphen/>
        <w:t>day tutorial on energy and environmental issues for the American Society of Newspaper Editors.</w:t>
      </w:r>
    </w:p>
    <w:p>
      <w:pPr>
        <w:pStyle w:val="Normal"/>
        <w:ind w:start="385" w:end="0"/>
        <w:rPr/>
      </w:pPr>
      <w:r>
        <w:rPr/>
      </w:r>
    </w:p>
    <w:p>
      <w:pPr>
        <w:pStyle w:val="Normal"/>
        <w:numPr>
          <w:ilvl w:val="0"/>
          <w:numId w:val="1"/>
        </w:numPr>
        <w:rPr/>
      </w:pPr>
      <w:r>
        <w:rPr/>
        <w:t>RFF researchers serve on a variety of committees and panels, such as the NAS Transportation Research Board's Committee for the Analysis of the Congestion Mitigation and Air Quality Program; Canadian Royal Society's Commission on the Ozone and Particulate Standards in Canada; EPA's Environmental Economics Advisory Committee, subcommittee of the Science Advisory Board; Mobile Sources Technical Review Subcommittee of EPA's Clean Air Act Advisory Committee; Committee for the Assessment of the National Aeronautics and Space Administration's (NASA) Space Solar Power Investment Strategy &amp; Steering Committee on Space Applications and Commercialization; and NASA's Space Science Advisory Committee</w:t>
      </w:r>
    </w:p>
    <w:p>
      <w:pPr>
        <w:pStyle w:val="Normal"/>
        <w:ind w:start="385" w:end="0"/>
        <w:rPr/>
      </w:pPr>
      <w:r>
        <w:rPr/>
      </w:r>
    </w:p>
    <w:p>
      <w:pPr>
        <w:pStyle w:val="BodyText"/>
        <w:numPr>
          <w:ilvl w:val="0"/>
          <w:numId w:val="1"/>
        </w:numPr>
        <w:rPr>
          <w:rFonts w:ascii="Times New Roman" w:hAnsi="Times New Roman" w:cs="Times New Roman"/>
          <w:sz w:val="24"/>
        </w:rPr>
      </w:pPr>
      <w:r>
        <w:rPr>
          <w:rFonts w:cs="Times New Roman" w:ascii="Times New Roman" w:hAnsi="Times New Roman"/>
          <w:sz w:val="24"/>
        </w:rPr>
        <w:t xml:space="preserve">The RFF Press publication </w:t>
      </w:r>
      <w:r>
        <w:rPr>
          <w:rFonts w:cs="Times New Roman" w:ascii="Times New Roman" w:hAnsi="Times New Roman"/>
          <w:i/>
          <w:iCs/>
          <w:sz w:val="24"/>
        </w:rPr>
        <w:t>A Vision for the U.S. Forest Service: Goals for lts Next Century</w:t>
      </w:r>
      <w:r>
        <w:rPr>
          <w:rFonts w:cs="Times New Roman" w:ascii="Times New Roman" w:hAnsi="Times New Roman"/>
          <w:sz w:val="24"/>
        </w:rPr>
        <w:t>, published in the fall of 2000, received the Best Book Award for 2000 from the Section for Environmental and Natural Resources Administration of the American Society of Public Administration.</w:t>
      </w:r>
    </w:p>
    <w:p>
      <w:pPr>
        <w:pStyle w:val="Normal"/>
        <w:ind w:start="360" w:end="0"/>
        <w:rPr>
          <w:rFonts w:ascii="Times New Roman" w:hAnsi="Times New Roman" w:cs="Times New Roman"/>
          <w:sz w:val="24"/>
        </w:rPr>
      </w:pPr>
      <w:r>
        <w:rPr>
          <w:rFonts w:cs="Times New Roman"/>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Garamond" w:hAnsi="Garamond" w:cs="Garamond"/>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2001-09-12T10:32:00Z</dcterms:created>
  <dc:creator>ray</dc:creator>
  <dc:description/>
  <dc:language>en-CA</dc:language>
  <cp:lastModifiedBy>ray</cp:lastModifiedBy>
  <dcterms:modified xsi:type="dcterms:W3CDTF">2001-09-12T10:33:00Z</dcterms:modified>
  <cp:revision>1</cp:revision>
  <dc:subject/>
  <dc:title>SELECTED EXAMPLES OF RFF IN THE POLICY PROCESS</dc:title>
</cp:coreProperties>
</file>