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rPr>
          <w:szCs w:val="20"/>
        </w:rPr>
      </w:pPr>
      <w:r>
        <w:rPr>
          <w:szCs w:val="20"/>
        </w:rPr>
      </w:r>
    </w:p>
    <w:p>
      <w:pPr>
        <w:pStyle w:val="Normal"/>
        <w:rPr>
          <w:szCs w:val="20"/>
        </w:rPr>
      </w:pPr>
      <w:r>
        <w:rPr>
          <w:szCs w:val="20"/>
        </w:rPr>
      </w:r>
    </w:p>
    <w:p>
      <w:pPr>
        <w:pStyle w:val="Normal"/>
        <w:rPr/>
      </w:pPr>
      <w:r>
        <w:rPr/>
      </w:r>
    </w:p>
    <w:p>
      <w:pPr>
        <w:pStyle w:val="Normal"/>
        <w:rPr/>
      </w:pPr>
      <w:r>
        <w:rPr/>
      </w:r>
    </w:p>
    <w:p>
      <w:pPr>
        <w:pStyle w:val="Heading3"/>
        <w:ind w:hanging="0" w:start="0"/>
        <w:rPr/>
      </w:pPr>
      <w:r>
        <w:rPr/>
        <w:t>CURRENT RFF INITIATIVES</w:t>
      </w:r>
    </w:p>
    <w:p>
      <w:pPr>
        <w:pStyle w:val="Normal"/>
        <w:tabs>
          <w:tab w:val="clear" w:pos="720"/>
          <w:tab w:val="left" w:pos="-2160" w:leader="none"/>
        </w:tabs>
        <w:rPr/>
      </w:pPr>
      <w:r>
        <w:rPr/>
      </w:r>
    </w:p>
    <w:p>
      <w:pPr>
        <w:pStyle w:val="Normal"/>
        <w:tabs>
          <w:tab w:val="clear" w:pos="720"/>
          <w:tab w:val="left" w:pos="-2160" w:leader="none"/>
        </w:tabs>
        <w:rPr/>
      </w:pPr>
      <w:r>
        <w:rPr/>
        <w:tab/>
        <w:t>Annual unrestricted support from individuals and corporations like Enron accounts for 15% of Resources for the Future’s (RFF) annual budget.  Without it, RFF would be unable to address the scope and breadth of environmental and resource policy issues upon which we have built our distinguished reputation.  RFF provides objective data, innovative modeling tools, and essential case studies to ensure sensible environmental policy discussions.  Over the course of the next year, RFF will conduct several initiatives of interest to Enron.  For example:</w:t>
      </w:r>
    </w:p>
    <w:p>
      <w:pPr>
        <w:pStyle w:val="BodyText"/>
        <w:rPr>
          <w:rFonts w:ascii="Times New Roman" w:hAnsi="Times New Roman" w:cs="Times New Roman"/>
          <w:sz w:val="24"/>
        </w:rPr>
      </w:pPr>
      <w:r>
        <w:rPr>
          <w:rFonts w:cs="Times New Roman" w:ascii="Times New Roman" w:hAnsi="Times New Roman"/>
          <w:sz w:val="24"/>
        </w:rPr>
      </w:r>
    </w:p>
    <w:p>
      <w:pPr>
        <w:pStyle w:val="BodyText"/>
        <w:rPr/>
      </w:pPr>
      <w:r>
        <w:rPr>
          <w:rFonts w:cs="Times New Roman" w:ascii="Times New Roman" w:hAnsi="Times New Roman"/>
          <w:sz w:val="24"/>
          <w:u w:val="single"/>
        </w:rPr>
        <w:t>A Proposal for Carbon Trading and Cost Containment:</w:t>
      </w:r>
      <w:r>
        <w:rPr>
          <w:rFonts w:cs="Times New Roman" w:ascii="Times New Roman" w:hAnsi="Times New Roman"/>
          <w:b/>
          <w:bCs/>
          <w:sz w:val="24"/>
        </w:rPr>
        <w:t xml:space="preserve"> </w:t>
      </w:r>
      <w:r>
        <w:rPr>
          <w:rFonts w:cs="Times New Roman" w:ascii="Times New Roman" w:hAnsi="Times New Roman"/>
          <w:sz w:val="24"/>
        </w:rPr>
        <w:t>RFF participated at the 6</w:t>
      </w:r>
      <w:r>
        <w:rPr>
          <w:rFonts w:cs="Times New Roman" w:ascii="Times New Roman" w:hAnsi="Times New Roman"/>
          <w:sz w:val="24"/>
          <w:vertAlign w:val="superscript"/>
        </w:rPr>
        <w:t>th</w:t>
      </w:r>
      <w:r>
        <w:rPr>
          <w:rFonts w:cs="Times New Roman" w:ascii="Times New Roman" w:hAnsi="Times New Roman"/>
          <w:sz w:val="24"/>
        </w:rPr>
        <w:t xml:space="preserve"> session of the United Nations’ World Conference of the Parties on Climate Change (COP6) at The Hague in November 2000.  RFF staff organized two sessions at COP6.  The first was based on RFF’s 1999 proposal calling for a mandatory, modest, and broad </w:t>
      </w:r>
      <w:r>
        <w:rPr>
          <w:rFonts w:cs="Times New Roman" w:ascii="Times New Roman" w:hAnsi="Times New Roman"/>
          <w:b/>
          <w:sz w:val="24"/>
        </w:rPr>
        <w:t>domestic</w:t>
      </w:r>
      <w:r>
        <w:rPr>
          <w:rFonts w:cs="Times New Roman" w:ascii="Times New Roman" w:hAnsi="Times New Roman"/>
          <w:sz w:val="24"/>
        </w:rPr>
        <w:t xml:space="preserve"> tradable permit program to reduce carbon emissions starting in the year 2002.  At the center of this program is a safety valve mechanism, which would ensure a price ceiling on permit costs.  The second session introduced the possibility of an </w:t>
      </w:r>
      <w:r>
        <w:rPr>
          <w:rFonts w:cs="Times New Roman" w:ascii="Times New Roman" w:hAnsi="Times New Roman"/>
          <w:b/>
          <w:sz w:val="24"/>
        </w:rPr>
        <w:t xml:space="preserve">international </w:t>
      </w:r>
      <w:r>
        <w:rPr>
          <w:rFonts w:cs="Times New Roman" w:ascii="Times New Roman" w:hAnsi="Times New Roman"/>
          <w:sz w:val="24"/>
        </w:rPr>
        <w:t>program based on our current safety valve mechanism, which would take steps to alleviate the current uncertainty and fear about future costs of carbon reductions.  This particular proposal was the subject of intense discussions among delegates and non-governmental organizations at COP6 meeting.  In fact, negotiators introduced language influenced by the RFF-generated proposal and it remains (in brackets) in the compliance section of the formal negotiating text.  Future negotiations likely will return to these issues, and RFF researchers will once again be on hand at the COP7 meeting in Marrakech at the end of October.</w:t>
      </w:r>
    </w:p>
    <w:p>
      <w:pPr>
        <w:pStyle w:val="Footer"/>
        <w:tabs>
          <w:tab w:val="clear" w:pos="4320"/>
          <w:tab w:val="clear" w:pos="8640"/>
          <w:tab w:val="left" w:pos="0" w:leader="none"/>
        </w:tabs>
        <w:suppressAutoHyphens w:val="true"/>
        <w:rPr>
          <w:rFonts w:ascii="Times New Roman" w:hAnsi="Times New Roman" w:cs="Times New Roman"/>
          <w:sz w:val="24"/>
        </w:rPr>
      </w:pPr>
      <w:r>
        <w:rPr>
          <w:rFonts w:cs="Times New Roman"/>
          <w:sz w:val="24"/>
        </w:rPr>
      </w:r>
    </w:p>
    <w:p>
      <w:pPr>
        <w:pStyle w:val="BodyText"/>
        <w:rPr>
          <w:rFonts w:ascii="Times New Roman" w:hAnsi="Times New Roman" w:cs="Times New Roman"/>
          <w:b/>
          <w:bCs/>
          <w:sz w:val="24"/>
        </w:rPr>
      </w:pPr>
      <w:r>
        <w:rPr>
          <w:rFonts w:cs="Times New Roman" w:ascii="Times New Roman" w:hAnsi="Times New Roman"/>
          <w:sz w:val="24"/>
          <w:u w:val="single"/>
        </w:rPr>
        <w:t>Distributional and Environmental Consequences of Allocating Tradable Permits:</w:t>
      </w:r>
      <w:r>
        <w:rPr>
          <w:rFonts w:cs="Times New Roman" w:ascii="Times New Roman" w:hAnsi="Times New Roman"/>
          <w:sz w:val="24"/>
        </w:rPr>
        <w:t xml:space="preserve"> RFF Senior Fellow Dallas Burtraw’s study of proposed Senate and House legislation that would regulate sulfur dioxide, nitrogen oxides, mercury and carbon dioxide emissions from electric power plants (so called 4-pollutant legislation).  All the legislative proposals call for an emission permit trading system akin to the current system for sulfur dioxide.  Dallas has been investigating alternative ways the permits can be initially allocated.  They can be distributed gratis to power generators, or they can be auctioned to generators requiring payments.  Dallas has shown that the manner of permit allocation significantly affects the overall cost of the pollution control program.  In particular, the cost of the control program under a gratis permit allocation is shown to be two times the cost of the program under a permit auction.</w:t>
      </w:r>
    </w:p>
    <w:p>
      <w:pPr>
        <w:pStyle w:val="BodyText"/>
        <w:rPr>
          <w:rFonts w:ascii="Times New Roman" w:hAnsi="Times New Roman" w:cs="Times New Roman"/>
          <w:b/>
          <w:bCs/>
          <w:sz w:val="24"/>
        </w:rPr>
      </w:pPr>
      <w:r>
        <w:rPr>
          <w:rFonts w:cs="Times New Roman" w:ascii="Times New Roman" w:hAnsi="Times New Roman"/>
          <w:b/>
          <w:bCs/>
          <w:sz w:val="24"/>
        </w:rPr>
      </w:r>
    </w:p>
    <w:p>
      <w:pPr>
        <w:pStyle w:val="BodyText"/>
        <w:rPr/>
      </w:pPr>
      <w:r>
        <w:rPr>
          <w:rFonts w:cs="Times New Roman" w:ascii="Times New Roman" w:hAnsi="Times New Roman"/>
          <w:bCs/>
          <w:sz w:val="24"/>
          <w:u w:val="single"/>
        </w:rPr>
        <w:t>Renewable Energy Regulation:</w:t>
      </w:r>
      <w:r>
        <w:rPr>
          <w:rFonts w:cs="Times New Roman" w:ascii="Times New Roman" w:hAnsi="Times New Roman"/>
          <w:b/>
          <w:sz w:val="24"/>
        </w:rPr>
        <w:t xml:space="preserve"> </w:t>
      </w:r>
      <w:r>
        <w:rPr>
          <w:rFonts w:cs="Times New Roman" w:ascii="Times New Roman" w:hAnsi="Times New Roman"/>
          <w:sz w:val="24"/>
        </w:rPr>
        <w:t>An examination of three proposals aimed at promoting renewable energy sources (</w:t>
      </w:r>
      <w:r>
        <w:rPr>
          <w:rFonts w:cs="Times New Roman" w:ascii="Times New Roman" w:hAnsi="Times New Roman"/>
          <w:color w:val="000000"/>
          <w:sz w:val="24"/>
        </w:rPr>
        <w:t xml:space="preserve">i.e., </w:t>
      </w:r>
      <w:r>
        <w:rPr>
          <w:rFonts w:cs="Times New Roman" w:ascii="Times New Roman" w:hAnsi="Times New Roman"/>
          <w:sz w:val="24"/>
        </w:rPr>
        <w:t>hydropower, biomass, geothermal, wind, solar thermal, and photovoltaics) in order to determine which method would be the most feasible from environmental, financial, and social perspectives.  To analyze the relative costs of these proposals, RFF Senior Fellows Karen Palmer and Dallas Burtraw will estimate benefits to both producers and consumers, as well as the simple changes in electricity price.  They will also analyze these policies in the context of “green demand.”  This builds on previous RFF work examining the market penetration and prices of renewables over the last 25 years.</w:t>
      </w:r>
      <w:r>
        <w:br w:type="page"/>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start"/>
        <w:rPr>
          <w:u w:val="none"/>
        </w:rPr>
      </w:pPr>
      <w:r>
        <w:rPr>
          <w:u w:val="none"/>
        </w:rPr>
        <w:t>CURRENT RFF INITIATIVES (continued –page 2)</w:t>
      </w:r>
    </w:p>
    <w:p>
      <w:pPr>
        <w:pStyle w:val="BodyText"/>
        <w:rPr>
          <w:u w:val="none"/>
        </w:rPr>
      </w:pPr>
      <w:r>
        <w:rPr>
          <w:u w:val="none"/>
        </w:rPr>
      </w:r>
    </w:p>
    <w:p>
      <w:pPr>
        <w:pStyle w:val="BodyText"/>
        <w:rPr/>
      </w:pPr>
      <w:r>
        <w:rPr/>
      </w:r>
    </w:p>
    <w:p>
      <w:pPr>
        <w:pStyle w:val="Normal"/>
        <w:rPr/>
      </w:pPr>
      <w:r>
        <w:rPr>
          <w:bCs/>
          <w:u w:val="single"/>
        </w:rPr>
        <w:t>Economic, Environmental, and Policy Causes and Consequences of Lock-In:</w:t>
      </w:r>
      <w:r>
        <w:rPr>
          <w:bCs/>
        </w:rPr>
        <w:t xml:space="preserve"> </w:t>
      </w:r>
      <w:r>
        <w:rPr/>
        <w:t xml:space="preserve">Research that will explore the causes of technological “lock-in” and the implications for energy and environmental policy.  The concept of “lock-in” occurs when a product or service becomes more valuable as more consumers use it. As market share increases, production costs go down, and competitive advantages develop which can create a kind of entry barrier to alternative services or products; thus, resulting in  “lock-in” for the original product or service.  RFF researchers will explore whether technologies that should be preferred from a long-term social perspective will be “locked-out” in the unfettered private market and will assess the degree to which factors that create “lock-in” are present in environment and energy-related markets.  They will explore the role of government policies in fostering or avoiding the conditions that lead to lock-in, specifically: technology standards, research, development, demonstration, procurement, taxes, and subsidies. </w:t>
      </w:r>
    </w:p>
    <w:p>
      <w:pPr>
        <w:pStyle w:val="Footer"/>
        <w:tabs>
          <w:tab w:val="clear" w:pos="4320"/>
          <w:tab w:val="clear" w:pos="8640"/>
          <w:tab w:val="left" w:pos="0" w:leader="none"/>
        </w:tabs>
        <w:suppressAutoHyphens w:val="true"/>
        <w:rPr/>
      </w:pPr>
      <w:r>
        <w:rPr/>
      </w:r>
    </w:p>
    <w:p>
      <w:pPr>
        <w:pStyle w:val="Footer"/>
        <w:tabs>
          <w:tab w:val="clear" w:pos="4320"/>
          <w:tab w:val="clear" w:pos="8640"/>
          <w:tab w:val="left" w:pos="0" w:leader="none"/>
        </w:tabs>
        <w:suppressAutoHyphens w:val="true"/>
        <w:rPr/>
      </w:pPr>
      <w:r>
        <w:rPr>
          <w:u w:val="single"/>
        </w:rPr>
        <w:t xml:space="preserve">Regulatory Tailoring with Stochastic Production: Effects of Designer Fuel Requirements: </w:t>
      </w:r>
      <w:r>
        <w:rPr/>
        <w:t>An analysis of the costs, benefits, and implications of applying tailored regulation policies to energy supply systems subject to stochastic failures, such as refinery and pipeline breakdowns.  Recent events suggest that regional market imbalances leading to localized price volatility are becoming increasingly common in a variety of contexts and seasons – heating oil in New England and motor fuels in the Midwest and California are examples over the past year.  With so much attention focused on localized price volatility for oil products and electricity, an examination of factors that could exacerbate price spikes is timely.  RFF researchers will examine the impact of region-specific tailoring of product specifications, which make it harder to respond to breakdowns by substituting product across regional boundaries.  Specifically, they will look at empirical evidence on the link between regulatory tailoring and increased volatility in the California gasoline market.</w:t>
      </w:r>
    </w:p>
    <w:p>
      <w:pPr>
        <w:pStyle w:val="Footer"/>
        <w:tabs>
          <w:tab w:val="clear" w:pos="4320"/>
          <w:tab w:val="clear" w:pos="8640"/>
          <w:tab w:val="left" w:pos="0" w:leader="none"/>
        </w:tabs>
        <w:suppressAutoHyphens w:val="true"/>
        <w:rPr/>
      </w:pPr>
      <w:r>
        <w:rPr/>
      </w:r>
    </w:p>
    <w:p>
      <w:pPr>
        <w:pStyle w:val="Footer"/>
        <w:tabs>
          <w:tab w:val="clear" w:pos="4320"/>
          <w:tab w:val="clear" w:pos="8640"/>
          <w:tab w:val="left" w:pos="0" w:leader="none"/>
        </w:tabs>
        <w:suppressAutoHyphens w:val="true"/>
        <w:rPr/>
      </w:pPr>
      <w:r>
        <w:rPr>
          <w:u w:val="single"/>
        </w:rPr>
        <w:t>Existing Distributed Generation: Economic and Environmental Issues:</w:t>
      </w:r>
      <w:r>
        <w:rPr>
          <w:b/>
          <w:bCs/>
        </w:rPr>
        <w:t xml:space="preserve"> </w:t>
      </w:r>
      <w:r>
        <w:rPr/>
        <w:t>RFF Resident Scholar Howard Gruenspecht’s project to measure the economic and environmental impacts of using existing backup generators to address concerns regarding reliability, price volatility, and market power in restructured electric power markets.  Recent experience with tight electricity supplies and volatile prices, coupled with delays in adding new capacity, leave some regions with few attractive options in preparing for next summer.  In this context, the use of the substantial capacity of existing small backup generators during a small number of peak hours when reliability is stressed and prices spike is one idea that could help balance load and generation.   However, there are potential environmental concerns, since many backup generators are powered by diesel engines and tight electricity markets often occur during conditions when air quality is also stressed.  This study will use air quality modeling tools to provide information to state and federal regulators and policymakers regarding the environmental viability of this option.</w:t>
      </w:r>
    </w:p>
    <w:p>
      <w:pPr>
        <w:pStyle w:val="Footer"/>
        <w:tabs>
          <w:tab w:val="clear" w:pos="4320"/>
          <w:tab w:val="clear" w:pos="8640"/>
          <w:tab w:val="left" w:pos="0" w:leader="none"/>
        </w:tabs>
        <w:suppressAutoHyphens w:val="true"/>
        <w:rPr/>
      </w:pPr>
      <w:r>
        <w:rPr/>
      </w:r>
      <w:r>
        <w:br w:type="page"/>
      </w:r>
    </w:p>
    <w:p>
      <w:pPr>
        <w:pStyle w:val="BodyText"/>
        <w:rPr/>
      </w:pPr>
      <w:r>
        <w:rPr/>
      </w:r>
    </w:p>
    <w:p>
      <w:pPr>
        <w:pStyle w:val="Heading3"/>
        <w:ind w:hanging="0" w:start="0"/>
        <w:jc w:val="start"/>
        <w:rPr>
          <w:u w:val="none"/>
        </w:rPr>
      </w:pPr>
      <w:r>
        <w:rPr>
          <w:u w:val="none"/>
        </w:rPr>
        <w:t>CURRENT RFF INITIATIVES (continued-page 3)</w:t>
      </w:r>
    </w:p>
    <w:p>
      <w:pPr>
        <w:pStyle w:val="BodyText"/>
        <w:rPr>
          <w:u w:val="none"/>
        </w:rPr>
      </w:pPr>
      <w:r>
        <w:rPr>
          <w:u w:val="none"/>
        </w:rPr>
      </w:r>
    </w:p>
    <w:p>
      <w:pPr>
        <w:pStyle w:val="Footer"/>
        <w:tabs>
          <w:tab w:val="clear" w:pos="4320"/>
          <w:tab w:val="clear" w:pos="8640"/>
          <w:tab w:val="left" w:pos="0" w:leader="none"/>
        </w:tabs>
        <w:suppressAutoHyphens w:val="true"/>
        <w:rPr/>
      </w:pPr>
      <w:r>
        <w:rPr/>
      </w:r>
    </w:p>
    <w:p>
      <w:pPr>
        <w:pStyle w:val="Normal"/>
        <w:autoSpaceDE w:val="false"/>
        <w:rPr/>
      </w:pPr>
      <w:r>
        <w:rPr>
          <w:u w:val="single"/>
        </w:rPr>
        <w:t>Retirement of Aging Coal-Fired Power Plants:</w:t>
      </w:r>
      <w:r>
        <w:rPr/>
        <w:t xml:space="preserve"> A comparison of two different policy approaches currently being discussed by the advocacy and business communities and in proposed legislation to promote the retirement of older coal-fired power plants.  The first approach, the so-called four pollutant bill, would impose formal and more stringent caps on the emissions of sulfur dioxide, nitrogen oxide, mercury and carbon dioxide in order to significantly reduce emissions and provide an indirect incentive to accelerate the retirement of older, inefficient coal-fired power plants.  A second approach would provide incentives directly for retirement.  These incentives could take the form of “regulatory relief” from enforcement of supposed violations of the New Source Review requirements; retirement tax credits; or an extension of compliance deadlines in new regulation in return for firm retirement commitments. </w:t>
      </w:r>
    </w:p>
    <w:p>
      <w:pPr>
        <w:pStyle w:val="Normal"/>
        <w:autoSpaceDE w:val="false"/>
        <w:rPr/>
      </w:pPr>
      <w:r>
        <w:rPr/>
      </w:r>
    </w:p>
    <w:p>
      <w:pPr>
        <w:pStyle w:val="BodyText"/>
        <w:rPr/>
      </w:pPr>
      <w:r>
        <w:rPr>
          <w:rFonts w:cs="Times New Roman" w:ascii="Times New Roman" w:hAnsi="Times New Roman"/>
          <w:sz w:val="24"/>
          <w:u w:val="single"/>
        </w:rPr>
        <w:t>U.S. vs. European Environmental Regulation:</w:t>
      </w:r>
      <w:r>
        <w:rPr>
          <w:rFonts w:cs="Times New Roman" w:ascii="Times New Roman" w:hAnsi="Times New Roman"/>
          <w:b/>
          <w:bCs/>
          <w:sz w:val="24"/>
        </w:rPr>
        <w:t xml:space="preserve"> </w:t>
      </w:r>
      <w:r>
        <w:rPr>
          <w:rFonts w:cs="Times New Roman" w:ascii="Times New Roman" w:hAnsi="Times New Roman"/>
          <w:sz w:val="24"/>
        </w:rPr>
        <w:t>A current project on the effectiveness and efficiency of environmental regulation, directed by Dick Morgenstern, Senior Fellow in RFF’s Quality of the Environment division.  This project will consist of ex post analyses of specific U.S. regulations versus European approaches to the same environmental problems (e.g., the effectiveness and efficiency of the U.S. SO2 permit market versus Germany’s sulfur emission standards; NOx emission taxes in Sweden versus NOx New Source Performance Standards in the U.S; and marketable permits for lead fuel in the U.S. versus mandatory lead phase-out programs elsewhere around the globe.)  RFF will work with Thomas Sterner, professor of environmental economics at the University of Gothenburg, to conduct the European case studies.  RFF hopes that the results of this work can play a critical role in providing objective information to the new presidential administration as it begins to formulate policies and innovative long-term solutions to environmental regulations.</w:t>
      </w:r>
    </w:p>
    <w:p>
      <w:pPr>
        <w:pStyle w:val="BodyText"/>
        <w:rPr>
          <w:rFonts w:ascii="Times New Roman" w:hAnsi="Times New Roman" w:cs="Times New Roman"/>
          <w:sz w:val="24"/>
        </w:rPr>
      </w:pPr>
      <w:r>
        <w:rPr>
          <w:rFonts w:cs="Times New Roman" w:ascii="Times New Roman" w:hAnsi="Times New Roman"/>
          <w:sz w:val="24"/>
        </w:rPr>
      </w:r>
    </w:p>
    <w:p>
      <w:pPr>
        <w:pStyle w:val="Normal"/>
        <w:autoSpaceDE w:val="false"/>
        <w:rPr/>
      </w:pPr>
      <w:r>
        <w:rPr>
          <w:u w:val="single"/>
        </w:rPr>
        <w:t>Symposium on Carbon Sinks:</w:t>
      </w:r>
      <w:r>
        <w:rPr>
          <w:b/>
          <w:bCs/>
        </w:rPr>
        <w:t xml:space="preserve"> </w:t>
      </w:r>
      <w:r>
        <w:rPr/>
        <w:t>RFF’s two-day conference which brought together approximately 40 international scholars to discuss the impact of natural resource scarcity on economic growth and the role of technology in alleviating resource scarcity.  With continued global environmental threats (including climate change, biodiversity loss, and marine resource depletion), rising world populations, and the need to raise the standards of living of the world’s poorest, concern surrounding the long-term sustainability of international economic progress has continued to mount.  The first day of the conference consisted of an overview of current scarcity and growth issues, including constraints on the availability of materials and energy, their limitation on continued economic progress, and possible physical or social/institutional constraints.  The second day of the conference examined key conservation policy issues, including the government’s role in promoting the policies, and what lessons modern scarcity and growth analysis has for the future – all of which sets a framework for future research.</w:t>
      </w:r>
      <w:r>
        <w:br w:type="page"/>
      </w:r>
    </w:p>
    <w:p>
      <w:pPr>
        <w:pStyle w:val="BodyText"/>
        <w:rPr/>
      </w:pPr>
      <w:r>
        <w:rPr/>
      </w:r>
    </w:p>
    <w:p>
      <w:pPr>
        <w:pStyle w:val="Heading3"/>
        <w:ind w:hanging="0" w:start="0"/>
        <w:jc w:val="start"/>
        <w:rPr>
          <w:u w:val="none"/>
        </w:rPr>
      </w:pPr>
      <w:r>
        <w:rPr>
          <w:u w:val="none"/>
        </w:rPr>
        <w:t>CURRENT RFF INITIATIVES (continued-page 4)</w:t>
      </w:r>
    </w:p>
    <w:p>
      <w:pPr>
        <w:pStyle w:val="BodyText"/>
        <w:rPr>
          <w:u w:val="none"/>
        </w:rPr>
      </w:pPr>
      <w:r>
        <w:rPr>
          <w:u w:val="none"/>
        </w:rPr>
      </w:r>
    </w:p>
    <w:p>
      <w:pPr>
        <w:pStyle w:val="Footer"/>
        <w:tabs>
          <w:tab w:val="clear" w:pos="4320"/>
          <w:tab w:val="clear" w:pos="8640"/>
          <w:tab w:val="left" w:pos="0" w:leader="none"/>
        </w:tabs>
        <w:suppressAutoHyphens w:val="true"/>
        <w:rPr/>
      </w:pPr>
      <w:r>
        <w:rPr/>
      </w:r>
    </w:p>
    <w:p>
      <w:pPr>
        <w:pStyle w:val="Normal"/>
        <w:autoSpaceDE w:val="false"/>
        <w:rPr/>
      </w:pPr>
      <w:r>
        <w:rPr>
          <w:u w:val="single"/>
        </w:rPr>
        <w:t>Examination of the Performance of Appliance Efficiency Standards:</w:t>
      </w:r>
      <w:r>
        <w:rPr/>
        <w:t xml:space="preserve"> An analysis of energy market, demographic, and technological trends to identify options to improve the performance of the appliance efficiency standards program within existing law as well as issues that merit attention in the context of possible statutory changes.  Recent studies find that efficiency standards adopted under the National Appliance Energy Conservation Act of 1987 have yielded significant reductions in energy use over the past decade.  However, there is no reason to assume that the existing implementation of the NAECA program is maximizing net benefits to consumers or society as a whole.  </w:t>
      </w:r>
    </w:p>
    <w:p>
      <w:pPr>
        <w:pStyle w:val="Normal"/>
        <w:autoSpaceDE w:val="false"/>
        <w:rPr/>
      </w:pPr>
      <w:r>
        <w:rPr/>
      </w:r>
    </w:p>
    <w:p>
      <w:pPr>
        <w:pStyle w:val="Footer"/>
        <w:tabs>
          <w:tab w:val="clear" w:pos="4320"/>
          <w:tab w:val="clear" w:pos="8640"/>
          <w:tab w:val="left" w:pos="0" w:leader="none"/>
        </w:tabs>
        <w:suppressAutoHyphens w:val="true"/>
        <w:rPr/>
      </w:pPr>
      <w:r>
        <w:rPr>
          <w:u w:val="single"/>
        </w:rPr>
        <w:t>A “Non-Economic” Analysis on Renewable Energy:</w:t>
      </w:r>
      <w:r>
        <w:rPr/>
        <w:t xml:space="preserve"> An RFF project for the Department of Energy on renewable energy.  Scholars are currently comparing conventional energy production for electricity with five different renewable energy technologies (wind, geothermal, biomass, photovoltaics, and solar) in terms of their impacts on reducing future energy costs.  The project concentrates specifically on some non-economic factors, such as the effects of wind turbines on avian resources (known as the "condor fricassee problem"), and noise and visual "pollution" associated with wind turbines.  Researchers are also examining the problems of discharging hot water from some of these systems into local ecosystems, and that sometimes these renewable resources are on tribal lands or other areas with cultural history.  Our researchers have already discovered the many ironies in examining some of the lesser-thought-of issues associated with these technologies.  For example, some environmentalists love wind energy, while other environmentalists bemoan its effects on birds.</w:t>
      </w:r>
    </w:p>
    <w:p>
      <w:pPr>
        <w:pStyle w:val="BodyText"/>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sz w:val="24"/>
        </w:rPr>
      </w:r>
    </w:p>
    <w:sectPr>
      <w:type w:val="nextPage"/>
      <w:pgSz w:w="12240" w:h="15840"/>
      <w:pgMar w:left="1440" w:right="1440" w:gutter="0" w:header="0" w:top="1440" w:footer="0" w:bottom="1440"/>
      <w:pgNumType w:fmt="decimal"/>
      <w:formProt w:val="false"/>
      <w:textDirection w:val="lrTb"/>
      <w:docGrid w:type="default" w:linePitch="15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
    <w:qFormat/>
    <w:pPr>
      <w:keepNext w:val="true"/>
      <w:numPr>
        <w:ilvl w:val="2"/>
        <w:numId w:val="1"/>
      </w:numPr>
      <w:tabs>
        <w:tab w:val="clear" w:pos="720"/>
        <w:tab w:val="left" w:pos="-2160" w:leader="none"/>
      </w:tabs>
      <w:jc w:val="center"/>
      <w:outlineLvl w:val="2"/>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2001-09-12T10:31:00Z</dcterms:created>
  <dc:creator>ray</dc:creator>
  <dc:description/>
  <dc:language>en-CA</dc:language>
  <cp:lastModifiedBy>ray</cp:lastModifiedBy>
  <dcterms:modified xsi:type="dcterms:W3CDTF">2001-09-12T10:32:00Z</dcterms:modified>
  <cp:revision>1</cp:revision>
  <dc:subject/>
  <dc:title>CURRENT RFF INITIATIVES</dc:title>
</cp:coreProperties>
</file>