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pBdr>
          <w:top w:val="single" w:sz="8" w:space="1" w:color="000000"/>
        </w:pBdr>
        <w:rPr/>
      </w:pPr>
      <w:r>
        <w:rPr/>
      </w:r>
    </w:p>
    <w:p>
      <w:pPr>
        <w:pStyle w:val="TitleB"/>
        <w:rPr/>
      </w:pPr>
      <w:r>
        <w:rPr/>
      </w:r>
    </w:p>
    <w:p>
      <w:pPr>
        <w:pStyle w:val="TitleB"/>
        <w:rPr/>
      </w:pPr>
      <w:r>
        <w:rPr/>
        <w:t>LICENSE AND SERVICES AGREEMENT</w:t>
      </w:r>
    </w:p>
    <w:p>
      <w:pPr>
        <w:pStyle w:val="TitleB"/>
        <w:rPr/>
      </w:pPr>
      <w:r>
        <w:rPr/>
      </w:r>
    </w:p>
    <w:p>
      <w:pPr>
        <w:pStyle w:val="Title"/>
        <w:rPr/>
      </w:pPr>
      <w:r>
        <w:rPr/>
        <w:t>between</w:t>
      </w:r>
    </w:p>
    <w:p>
      <w:pPr>
        <w:pStyle w:val="Title"/>
        <w:rPr/>
      </w:pPr>
      <w:r>
        <w:rPr/>
      </w:r>
    </w:p>
    <w:p>
      <w:pPr>
        <w:pStyle w:val="TitleB"/>
        <w:rPr/>
      </w:pPr>
      <w:r>
        <w:rPr/>
        <w:t>[ENRON ENTITY]</w:t>
      </w:r>
    </w:p>
    <w:p>
      <w:pPr>
        <w:pStyle w:val="TitleB"/>
        <w:rPr/>
      </w:pPr>
      <w:r>
        <w:rPr/>
      </w:r>
    </w:p>
    <w:p>
      <w:pPr>
        <w:pStyle w:val="Title"/>
        <w:rPr/>
      </w:pPr>
      <w:r>
        <w:rPr/>
        <w:t>and</w:t>
      </w:r>
    </w:p>
    <w:p>
      <w:pPr>
        <w:pStyle w:val="Title"/>
        <w:rPr/>
      </w:pPr>
      <w:r>
        <w:rPr/>
      </w:r>
    </w:p>
    <w:p>
      <w:pPr>
        <w:pStyle w:val="TitleB"/>
        <w:rPr/>
      </w:pPr>
      <w:r>
        <w:rPr/>
        <w:t>____________________________</w:t>
      </w:r>
    </w:p>
    <w:p>
      <w:pPr>
        <w:pStyle w:val="Title"/>
        <w:rPr/>
      </w:pPr>
      <w:r>
        <w:rPr/>
      </w:r>
    </w:p>
    <w:p>
      <w:pPr>
        <w:pStyle w:val="Title"/>
        <w:rPr/>
      </w:pPr>
      <w:r>
        <w:rPr/>
      </w:r>
    </w:p>
    <w:p>
      <w:pPr>
        <w:pStyle w:val="Title"/>
        <w:rPr/>
      </w:pPr>
      <w:r>
        <w:rPr/>
        <w:t>Dated as of ____________, 200_</w:t>
      </w:r>
    </w:p>
    <w:p>
      <w:pPr>
        <w:pStyle w:val="Title"/>
        <w:rPr/>
      </w:pPr>
      <w:r>
        <w:rPr/>
      </w:r>
    </w:p>
    <w:p>
      <w:pPr>
        <w:sectPr>
          <w:headerReference w:type="default" r:id="rId2"/>
          <w:headerReference w:type="first" r:id="rId3"/>
          <w:footerReference w:type="default" r:id="rId4"/>
          <w:footerReference w:type="first" r:id="rId5"/>
          <w:type w:val="nextPage"/>
          <w:pgSz w:w="12240" w:h="15840"/>
          <w:pgMar w:left="1440" w:right="1440" w:gutter="0" w:header="1152" w:top="1800" w:footer="720" w:bottom="1440"/>
          <w:pgNumType w:fmt="decimal"/>
          <w:formProt w:val="false"/>
          <w:vAlign w:val="center"/>
          <w:titlePg/>
          <w:textDirection w:val="lrTb"/>
          <w:docGrid w:type="default" w:linePitch="360" w:charSpace="0"/>
        </w:sectPr>
        <w:pStyle w:val="Title"/>
        <w:pBdr>
          <w:bottom w:val="double" w:sz="4" w:space="1" w:color="000000"/>
        </w:pBdr>
        <w:rPr/>
      </w:pPr>
      <w:r>
        <w:rPr/>
      </w:r>
    </w:p>
    <w:p>
      <w:pPr>
        <w:pStyle w:val="TitleB"/>
        <w:rPr/>
      </w:pPr>
      <w:r>
        <w:rPr/>
        <w:t>TABLE OF CONTENTS</w:t>
      </w:r>
    </w:p>
    <w:p>
      <w:pPr>
        <w:pStyle w:val="BodyTextLA"/>
        <w:tabs>
          <w:tab w:val="clear" w:pos="720"/>
          <w:tab w:val="left" w:pos="8820" w:leader="none"/>
        </w:tabs>
        <w:rPr>
          <w:b/>
        </w:rPr>
      </w:pPr>
      <w:r>
        <w:rPr>
          <w:b/>
        </w:rPr>
        <w:t>Item</w:t>
        <w:tab/>
        <w:t>Page</w:t>
      </w:r>
    </w:p>
    <w:sdt>
      <w:sdtPr>
        <w:docPartObj>
          <w:docPartGallery w:val="Table of Contents"/>
          <w:docPartUnique w:val="true"/>
        </w:docPartObj>
      </w:sdtPr>
      <w:sdtContent>
        <w:p>
          <w:pPr>
            <w:pStyle w:val="TOC1"/>
            <w:spacing w:before="0" w:after="120"/>
            <w:rPr>
              <w:b w:val="false"/>
            </w:rPr>
          </w:pPr>
          <w:r>
            <w:fldChar w:fldCharType="begin"/>
          </w:r>
          <w:r>
            <w:rPr>
              <w:b w:val="false"/>
              <w:color w:val="000000"/>
              <w:lang w:val="en-CA"/>
            </w:rPr>
            <w:instrText xml:space="preserve"> TOC \o "1-1" </w:instrText>
          </w:r>
          <w:r>
            <w:rPr>
              <w:b w:val="false"/>
              <w:color w:val="000000"/>
              <w:lang w:val="en-CA"/>
            </w:rPr>
            <w:fldChar w:fldCharType="separate"/>
          </w:r>
          <w:r>
            <w:rPr>
              <w:b w:val="false"/>
              <w:color w:val="000000"/>
              <w:lang w:val="en-CA"/>
            </w:rPr>
            <w:t>1.</w:t>
            <w:tab/>
            <w:t>DEFINITIONS.</w:t>
            <w:tab/>
          </w:r>
          <w:hyperlink w:anchor="__RefHeading___Toc506720729">
            <w:r>
              <w:rPr>
                <w:rStyle w:val="IndexLink"/>
                <w:b w:val="false"/>
                <w:color w:val="000000"/>
                <w:lang w:val="en-CA"/>
              </w:rPr>
              <w:t>1</w:t>
            </w:r>
          </w:hyperlink>
        </w:p>
        <w:p>
          <w:pPr>
            <w:pStyle w:val="TOC1"/>
            <w:rPr>
              <w:b w:val="false"/>
            </w:rPr>
          </w:pPr>
          <w:r>
            <w:rPr>
              <w:b w:val="false"/>
            </w:rPr>
            <w:t>2.</w:t>
            <w:tab/>
            <w:t>INITIAL SERVICES.</w:t>
            <w:tab/>
          </w:r>
          <w:hyperlink w:anchor="__RefHeading___Toc506720730">
            <w:r>
              <w:rPr>
                <w:rStyle w:val="IndexLink"/>
                <w:b w:val="false"/>
              </w:rPr>
              <w:t>4</w:t>
            </w:r>
          </w:hyperlink>
        </w:p>
        <w:p>
          <w:pPr>
            <w:pStyle w:val="TOC1"/>
            <w:rPr>
              <w:b w:val="false"/>
            </w:rPr>
          </w:pPr>
          <w:r>
            <w:rPr>
              <w:b w:val="false"/>
            </w:rPr>
            <w:t>3.</w:t>
            <w:tab/>
            <w:t>SUPPORT SERVICES.</w:t>
            <w:tab/>
          </w:r>
          <w:hyperlink w:anchor="__RefHeading___Toc506720731">
            <w:r>
              <w:rPr>
                <w:rStyle w:val="IndexLink"/>
                <w:b w:val="false"/>
              </w:rPr>
              <w:t>6</w:t>
            </w:r>
          </w:hyperlink>
        </w:p>
        <w:p>
          <w:pPr>
            <w:pStyle w:val="TOC1"/>
            <w:rPr>
              <w:b w:val="false"/>
            </w:rPr>
          </w:pPr>
          <w:r>
            <w:rPr>
              <w:b w:val="false"/>
            </w:rPr>
            <w:t>4.</w:t>
            <w:tab/>
            <w:t>FEES AND EXPENSES.</w:t>
            <w:tab/>
          </w:r>
          <w:hyperlink w:anchor="__RefHeading___Toc506720732">
            <w:r>
              <w:rPr>
                <w:rStyle w:val="IndexLink"/>
                <w:b w:val="false"/>
              </w:rPr>
              <w:t>6</w:t>
            </w:r>
          </w:hyperlink>
        </w:p>
        <w:p>
          <w:pPr>
            <w:pStyle w:val="TOC1"/>
            <w:rPr>
              <w:b w:val="false"/>
            </w:rPr>
          </w:pPr>
          <w:r>
            <w:rPr>
              <w:b w:val="false"/>
            </w:rPr>
            <w:t>5.</w:t>
            <w:tab/>
            <w:t>TERMS OF ACCESS.</w:t>
            <w:tab/>
          </w:r>
          <w:hyperlink w:anchor="__RefHeading___Toc506720733">
            <w:r>
              <w:rPr>
                <w:rStyle w:val="IndexLink"/>
                <w:b w:val="false"/>
              </w:rPr>
              <w:t>6</w:t>
            </w:r>
          </w:hyperlink>
        </w:p>
        <w:p>
          <w:pPr>
            <w:pStyle w:val="TOC1"/>
            <w:rPr>
              <w:b w:val="false"/>
            </w:rPr>
          </w:pPr>
          <w:r>
            <w:rPr>
              <w:b w:val="false"/>
            </w:rPr>
            <w:t>6.</w:t>
            <w:tab/>
            <w:t>USER IDs AND PASSWORDS.</w:t>
            <w:tab/>
          </w:r>
          <w:hyperlink w:anchor="__RefHeading___Toc506720734">
            <w:r>
              <w:rPr>
                <w:rStyle w:val="IndexLink"/>
                <w:b w:val="false"/>
              </w:rPr>
              <w:t>7</w:t>
            </w:r>
          </w:hyperlink>
        </w:p>
        <w:p>
          <w:pPr>
            <w:pStyle w:val="TOC1"/>
            <w:rPr>
              <w:b w:val="false"/>
            </w:rPr>
          </w:pPr>
          <w:r>
            <w:rPr>
              <w:b w:val="false"/>
            </w:rPr>
            <w:t>7.</w:t>
            <w:tab/>
            <w:t>POSTING OF PRICES; EXECUTION OF TRANSACTIONS.</w:t>
            <w:tab/>
          </w:r>
          <w:hyperlink w:anchor="__RefHeading___Toc506720735">
            <w:r>
              <w:rPr>
                <w:rStyle w:val="IndexLink"/>
                <w:b w:val="false"/>
              </w:rPr>
              <w:t>7</w:t>
            </w:r>
          </w:hyperlink>
        </w:p>
        <w:p>
          <w:pPr>
            <w:pStyle w:val="TOC1"/>
            <w:rPr>
              <w:b w:val="false"/>
            </w:rPr>
          </w:pPr>
          <w:r>
            <w:rPr>
              <w:b w:val="false"/>
            </w:rPr>
            <w:t>8.</w:t>
            <w:tab/>
            <w:t>TERM.</w:t>
            <w:tab/>
          </w:r>
          <w:hyperlink w:anchor="__RefHeading___Toc506720736">
            <w:r>
              <w:rPr>
                <w:rStyle w:val="IndexLink"/>
                <w:b w:val="false"/>
              </w:rPr>
              <w:t>9</w:t>
            </w:r>
          </w:hyperlink>
        </w:p>
        <w:p>
          <w:pPr>
            <w:pStyle w:val="TOC1"/>
            <w:rPr>
              <w:b w:val="false"/>
            </w:rPr>
          </w:pPr>
          <w:r>
            <w:rPr>
              <w:b w:val="false"/>
            </w:rPr>
            <w:t>9.</w:t>
            <w:tab/>
            <w:t>PIPELINE COMPANY’S REPRESENTATIONS, WARRANTIES AND COVENANTS.</w:t>
            <w:tab/>
          </w:r>
          <w:hyperlink w:anchor="__RefHeading___Toc506720737">
            <w:r>
              <w:rPr>
                <w:rStyle w:val="IndexLink"/>
                <w:b w:val="false"/>
              </w:rPr>
              <w:t>9</w:t>
            </w:r>
          </w:hyperlink>
        </w:p>
        <w:p>
          <w:pPr>
            <w:pStyle w:val="TOC1"/>
            <w:tabs>
              <w:tab w:val="left" w:pos="400" w:leader="none"/>
              <w:tab w:val="left" w:pos="600" w:leader="none"/>
              <w:tab w:val="right" w:pos="9090" w:leader="dot"/>
            </w:tabs>
            <w:rPr>
              <w:b w:val="false"/>
            </w:rPr>
          </w:pPr>
          <w:r>
            <w:rPr>
              <w:b w:val="false"/>
            </w:rPr>
            <w:t>10.</w:t>
            <w:tab/>
            <w:t>LIMITATION OF LIABILITY; INDEMNITY.</w:t>
            <w:tab/>
          </w:r>
          <w:hyperlink w:anchor="__RefHeading___Toc506720738">
            <w:r>
              <w:rPr>
                <w:rStyle w:val="IndexLink"/>
                <w:b w:val="false"/>
              </w:rPr>
              <w:t>11</w:t>
            </w:r>
          </w:hyperlink>
        </w:p>
        <w:p>
          <w:pPr>
            <w:pStyle w:val="TOC1"/>
            <w:tabs>
              <w:tab w:val="left" w:pos="400" w:leader="none"/>
              <w:tab w:val="left" w:pos="600" w:leader="none"/>
              <w:tab w:val="right" w:pos="9090" w:leader="dot"/>
            </w:tabs>
            <w:rPr>
              <w:b w:val="false"/>
            </w:rPr>
          </w:pPr>
          <w:r>
            <w:rPr>
              <w:b w:val="false"/>
            </w:rPr>
            <w:t>11.</w:t>
            <w:tab/>
            <w:t>CONFIDENTIALITY.</w:t>
            <w:tab/>
          </w:r>
          <w:hyperlink w:anchor="__RefHeading___Toc506720739">
            <w:r>
              <w:rPr>
                <w:rStyle w:val="IndexLink"/>
                <w:b w:val="false"/>
              </w:rPr>
              <w:t>13</w:t>
            </w:r>
          </w:hyperlink>
        </w:p>
        <w:p>
          <w:pPr>
            <w:pStyle w:val="TOC1"/>
            <w:tabs>
              <w:tab w:val="left" w:pos="400" w:leader="none"/>
              <w:tab w:val="left" w:pos="600" w:leader="none"/>
              <w:tab w:val="right" w:pos="9090" w:leader="dot"/>
            </w:tabs>
            <w:rPr>
              <w:b w:val="false"/>
            </w:rPr>
          </w:pPr>
          <w:r>
            <w:rPr>
              <w:b w:val="false"/>
            </w:rPr>
            <w:t>12.</w:t>
            <w:tab/>
            <w:t>NOTICES.</w:t>
            <w:tab/>
          </w:r>
          <w:hyperlink w:anchor="__RefHeading___Toc506720740">
            <w:r>
              <w:rPr>
                <w:rStyle w:val="IndexLink"/>
                <w:b w:val="false"/>
              </w:rPr>
              <w:t>14</w:t>
            </w:r>
          </w:hyperlink>
        </w:p>
        <w:p>
          <w:pPr>
            <w:pStyle w:val="TOC1"/>
            <w:tabs>
              <w:tab w:val="left" w:pos="400" w:leader="none"/>
              <w:tab w:val="left" w:pos="600" w:leader="none"/>
              <w:tab w:val="right" w:pos="9090" w:leader="dot"/>
            </w:tabs>
            <w:rPr>
              <w:b w:val="false"/>
            </w:rPr>
          </w:pPr>
          <w:r>
            <w:rPr>
              <w:b w:val="false"/>
            </w:rPr>
            <w:t>13.</w:t>
            <w:tab/>
            <w:t>NO THIRD PARTY BENEFICIARY.</w:t>
            <w:tab/>
          </w:r>
          <w:hyperlink w:anchor="__RefHeading___Toc506720741">
            <w:r>
              <w:rPr>
                <w:rStyle w:val="IndexLink"/>
                <w:b w:val="false"/>
              </w:rPr>
              <w:t>14</w:t>
            </w:r>
          </w:hyperlink>
        </w:p>
        <w:p>
          <w:pPr>
            <w:pStyle w:val="TOC1"/>
            <w:tabs>
              <w:tab w:val="left" w:pos="400" w:leader="none"/>
              <w:tab w:val="left" w:pos="600" w:leader="none"/>
              <w:tab w:val="right" w:pos="9090" w:leader="dot"/>
            </w:tabs>
            <w:rPr>
              <w:b w:val="false"/>
            </w:rPr>
          </w:pPr>
          <w:r>
            <w:rPr>
              <w:b w:val="false"/>
            </w:rPr>
            <w:t>14.</w:t>
            <w:tab/>
            <w:t>FORCE MAJEURE.</w:t>
            <w:tab/>
          </w:r>
          <w:hyperlink w:anchor="__RefHeading___Toc506720742">
            <w:r>
              <w:rPr>
                <w:rStyle w:val="IndexLink"/>
                <w:b w:val="false"/>
              </w:rPr>
              <w:t>14</w:t>
            </w:r>
          </w:hyperlink>
        </w:p>
        <w:p>
          <w:pPr>
            <w:pStyle w:val="TOC1"/>
            <w:tabs>
              <w:tab w:val="left" w:pos="400" w:leader="none"/>
              <w:tab w:val="left" w:pos="600" w:leader="none"/>
              <w:tab w:val="right" w:pos="9090" w:leader="dot"/>
            </w:tabs>
            <w:rPr>
              <w:b w:val="false"/>
            </w:rPr>
          </w:pPr>
          <w:r>
            <w:rPr>
              <w:b w:val="false"/>
            </w:rPr>
            <w:t>15.</w:t>
            <w:tab/>
            <w:t>WAIVER.</w:t>
            <w:tab/>
          </w:r>
          <w:hyperlink w:anchor="__RefHeading___Toc506720743">
            <w:r>
              <w:rPr>
                <w:rStyle w:val="IndexLink"/>
                <w:b w:val="false"/>
              </w:rPr>
              <w:t>14</w:t>
            </w:r>
          </w:hyperlink>
        </w:p>
        <w:p>
          <w:pPr>
            <w:pStyle w:val="TOC1"/>
            <w:tabs>
              <w:tab w:val="left" w:pos="400" w:leader="none"/>
              <w:tab w:val="left" w:pos="600" w:leader="none"/>
              <w:tab w:val="right" w:pos="9090" w:leader="dot"/>
            </w:tabs>
            <w:rPr>
              <w:b w:val="false"/>
            </w:rPr>
          </w:pPr>
          <w:r>
            <w:rPr>
              <w:b w:val="false"/>
            </w:rPr>
            <w:t>16.</w:t>
            <w:tab/>
            <w:t>ASSIGNMENT.</w:t>
            <w:tab/>
          </w:r>
          <w:hyperlink w:anchor="__RefHeading___Toc506720744">
            <w:r>
              <w:rPr>
                <w:rStyle w:val="IndexLink"/>
                <w:b w:val="false"/>
              </w:rPr>
              <w:t>14</w:t>
            </w:r>
          </w:hyperlink>
        </w:p>
        <w:p>
          <w:pPr>
            <w:pStyle w:val="TOC1"/>
            <w:tabs>
              <w:tab w:val="left" w:pos="400" w:leader="none"/>
              <w:tab w:val="left" w:pos="600" w:leader="none"/>
              <w:tab w:val="right" w:pos="9090" w:leader="dot"/>
            </w:tabs>
            <w:rPr>
              <w:b w:val="false"/>
            </w:rPr>
          </w:pPr>
          <w:r>
            <w:rPr>
              <w:b w:val="false"/>
            </w:rPr>
            <w:t>17.</w:t>
            <w:tab/>
            <w:t>INTEGRATED AGREEMENT.</w:t>
            <w:tab/>
          </w:r>
          <w:hyperlink w:anchor="__RefHeading___Toc506720745">
            <w:r>
              <w:rPr>
                <w:rStyle w:val="IndexLink"/>
                <w:b w:val="false"/>
              </w:rPr>
              <w:t>15</w:t>
            </w:r>
          </w:hyperlink>
        </w:p>
        <w:p>
          <w:pPr>
            <w:pStyle w:val="TOC1"/>
            <w:tabs>
              <w:tab w:val="left" w:pos="400" w:leader="none"/>
              <w:tab w:val="left" w:pos="600" w:leader="none"/>
              <w:tab w:val="right" w:pos="9090" w:leader="dot"/>
            </w:tabs>
            <w:rPr>
              <w:b w:val="false"/>
            </w:rPr>
          </w:pPr>
          <w:r>
            <w:rPr>
              <w:b w:val="false"/>
            </w:rPr>
            <w:t>18.</w:t>
            <w:tab/>
            <w:t>AMENDMENTS.</w:t>
            <w:tab/>
          </w:r>
          <w:hyperlink w:anchor="__RefHeading___Toc506720746">
            <w:r>
              <w:rPr>
                <w:rStyle w:val="IndexLink"/>
                <w:b w:val="false"/>
              </w:rPr>
              <w:t>15</w:t>
            </w:r>
          </w:hyperlink>
        </w:p>
        <w:p>
          <w:pPr>
            <w:pStyle w:val="TOC1"/>
            <w:tabs>
              <w:tab w:val="left" w:pos="400" w:leader="none"/>
              <w:tab w:val="left" w:pos="600" w:leader="none"/>
              <w:tab w:val="right" w:pos="9090" w:leader="dot"/>
            </w:tabs>
            <w:rPr>
              <w:b w:val="false"/>
            </w:rPr>
          </w:pPr>
          <w:r>
            <w:rPr>
              <w:b w:val="false"/>
            </w:rPr>
            <w:t>19.</w:t>
            <w:tab/>
            <w:t>FURTHER ASSURANCES.</w:t>
            <w:tab/>
          </w:r>
          <w:hyperlink w:anchor="__RefHeading___Toc506720747">
            <w:r>
              <w:rPr>
                <w:rStyle w:val="IndexLink"/>
                <w:b w:val="false"/>
              </w:rPr>
              <w:t>15</w:t>
            </w:r>
          </w:hyperlink>
        </w:p>
        <w:p>
          <w:pPr>
            <w:pStyle w:val="TOC1"/>
            <w:tabs>
              <w:tab w:val="left" w:pos="400" w:leader="none"/>
              <w:tab w:val="left" w:pos="600" w:leader="none"/>
              <w:tab w:val="right" w:pos="9090" w:leader="dot"/>
            </w:tabs>
            <w:rPr>
              <w:b w:val="false"/>
            </w:rPr>
          </w:pPr>
          <w:r>
            <w:rPr>
              <w:b w:val="false"/>
            </w:rPr>
            <w:t>20.</w:t>
            <w:tab/>
            <w:t>GOVERNING LAW; ARBITRATION.</w:t>
            <w:tab/>
          </w:r>
          <w:hyperlink w:anchor="__RefHeading___Toc506720748">
            <w:r>
              <w:rPr>
                <w:rStyle w:val="IndexLink"/>
                <w:b w:val="false"/>
              </w:rPr>
              <w:t>15</w:t>
            </w:r>
          </w:hyperlink>
        </w:p>
        <w:p>
          <w:pPr>
            <w:pStyle w:val="TOC1"/>
            <w:tabs>
              <w:tab w:val="left" w:pos="400" w:leader="none"/>
              <w:tab w:val="left" w:pos="600" w:leader="none"/>
              <w:tab w:val="right" w:pos="9090" w:leader="dot"/>
            </w:tabs>
            <w:rPr>
              <w:b w:val="false"/>
            </w:rPr>
          </w:pPr>
          <w:r>
            <w:rPr>
              <w:b w:val="false"/>
            </w:rPr>
            <w:t>21.</w:t>
            <w:tab/>
            <w:t>HEADINGS.</w:t>
            <w:tab/>
          </w:r>
          <w:hyperlink w:anchor="__RefHeading___Toc506720749">
            <w:r>
              <w:rPr>
                <w:rStyle w:val="IndexLink"/>
                <w:b w:val="false"/>
              </w:rPr>
              <w:t>16</w:t>
            </w:r>
          </w:hyperlink>
        </w:p>
        <w:p>
          <w:pPr>
            <w:pStyle w:val="TOC1"/>
            <w:tabs>
              <w:tab w:val="left" w:pos="400" w:leader="none"/>
              <w:tab w:val="left" w:pos="600" w:leader="none"/>
              <w:tab w:val="right" w:pos="9090" w:leader="dot"/>
            </w:tabs>
            <w:rPr>
              <w:b w:val="false"/>
            </w:rPr>
          </w:pPr>
          <w:r>
            <w:rPr>
              <w:b w:val="false"/>
            </w:rPr>
            <w:t>22.</w:t>
            <w:tab/>
            <w:t>SEVERABILITY.</w:t>
            <w:tab/>
          </w:r>
          <w:hyperlink w:anchor="__RefHeading___Toc506720750">
            <w:r>
              <w:rPr>
                <w:rStyle w:val="IndexLink"/>
                <w:b w:val="false"/>
              </w:rPr>
              <w:t>16</w:t>
            </w:r>
          </w:hyperlink>
        </w:p>
        <w:p>
          <w:pPr>
            <w:pStyle w:val="TOC1"/>
            <w:tabs>
              <w:tab w:val="left" w:pos="400" w:leader="none"/>
              <w:tab w:val="left" w:pos="600" w:leader="none"/>
              <w:tab w:val="right" w:pos="9090" w:leader="dot"/>
            </w:tabs>
            <w:rPr/>
          </w:pPr>
          <w:r>
            <w:rPr>
              <w:b w:val="false"/>
            </w:rPr>
            <w:t>23.</w:t>
            <w:tab/>
            <w:t>COUNTERPARTS.</w:t>
            <w:tab/>
          </w:r>
          <w:hyperlink w:anchor="__RefHeading___Toc506720751">
            <w:r>
              <w:rPr>
                <w:rStyle w:val="IndexLink"/>
                <w:b w:val="false"/>
              </w:rPr>
              <w:t>17</w:t>
            </w:r>
          </w:hyperlink>
          <w:r>
            <w:rPr>
              <w:rStyle w:val="IndexLink"/>
              <w:b w:val="false"/>
            </w:rPr>
            <w:fldChar w:fldCharType="end"/>
          </w:r>
        </w:p>
      </w:sdtContent>
    </w:sdt>
    <w:p>
      <w:pPr>
        <w:pStyle w:val="BodyTextLA"/>
        <w:tabs>
          <w:tab w:val="clear" w:pos="720"/>
          <w:tab w:val="left" w:pos="9000" w:leader="none"/>
        </w:tabs>
        <w:rPr>
          <w:b/>
        </w:rPr>
      </w:pPr>
      <w:r>
        <w:rPr>
          <w:b/>
        </w:rPr>
      </w:r>
    </w:p>
    <w:p>
      <w:pPr>
        <w:pStyle w:val="BodyTextLA"/>
        <w:tabs>
          <w:tab w:val="clear" w:pos="720"/>
          <w:tab w:val="left" w:pos="9000" w:leader="none"/>
        </w:tabs>
        <w:rPr/>
      </w:pPr>
      <w:r>
        <w:rPr/>
        <w:t>SCHEDULE A – FEES AND EXPENSES</w:t>
      </w:r>
    </w:p>
    <w:p>
      <w:pPr>
        <w:sectPr>
          <w:headerReference w:type="default" r:id="rId6"/>
          <w:headerReference w:type="first" r:id="rId7"/>
          <w:footerReference w:type="default" r:id="rId8"/>
          <w:footerReference w:type="first" r:id="rId9"/>
          <w:type w:val="nextPage"/>
          <w:pgSz w:w="12240" w:h="15840"/>
          <w:pgMar w:left="1440" w:right="1440" w:gutter="0" w:header="1152" w:top="1800" w:footer="720" w:bottom="1440"/>
          <w:pgNumType w:start="1" w:fmt="lowerRoman"/>
          <w:formProt w:val="false"/>
          <w:vAlign w:val="center"/>
          <w:titlePg/>
          <w:textDirection w:val="lrTb"/>
          <w:docGrid w:type="default" w:linePitch="360" w:charSpace="0"/>
        </w:sectPr>
        <w:pStyle w:val="BodyTextLA"/>
        <w:tabs>
          <w:tab w:val="clear" w:pos="720"/>
          <w:tab w:val="left" w:pos="9000" w:leader="none"/>
        </w:tabs>
        <w:rPr/>
      </w:pPr>
      <w:r>
        <w:rPr/>
        <w:t>SCHEDULE B – SUPPORT SERVICE PROGRAM</w:t>
      </w:r>
    </w:p>
    <w:p>
      <w:pPr>
        <w:pStyle w:val="TitleB"/>
        <w:rPr/>
      </w:pPr>
      <w:r>
        <w:rPr/>
        <w:t>LICENSE AND SERVICES AGREEMENT</w:t>
      </w:r>
    </w:p>
    <w:p>
      <w:pPr>
        <w:pStyle w:val="BodyTextLA"/>
        <w:ind w:firstLine="720" w:end="0"/>
        <w:rPr/>
      </w:pPr>
      <w:r>
        <w:rPr/>
        <w:t xml:space="preserve">This License and Services Agreement (this “Agreement”) is made as of ____________, 200_, between ___________, a company incorporated under the laws of the State of _______________ (“Pipeline Company”), and </w:t>
      </w:r>
      <w:r>
        <w:rPr>
          <w:b/>
        </w:rPr>
        <w:t>[</w:t>
      </w:r>
      <w:r>
        <w:rPr/>
        <w:t>Enron Entity</w:t>
      </w:r>
      <w:r>
        <w:rPr>
          <w:b/>
        </w:rPr>
        <w:t>]</w:t>
      </w:r>
      <w:r>
        <w:rPr/>
        <w:t>, a company incorporated under the laws of the State of _________ (“Enron”).</w:t>
      </w:r>
    </w:p>
    <w:p>
      <w:pPr>
        <w:pStyle w:val="BodyText5LA"/>
        <w:rPr/>
      </w:pPr>
      <w:r>
        <w:rPr>
          <w:b/>
        </w:rPr>
        <w:t>WHEREAS,</w:t>
      </w:r>
      <w:r>
        <w:rPr/>
        <w:t xml:space="preserve"> Pipeline Company wishes to post prices for certain natural gas pipeline volumes which it will have available for sale </w:t>
      </w:r>
      <w:r>
        <w:rPr>
          <w:b/>
        </w:rPr>
        <w:t>[</w:t>
      </w:r>
      <w:r>
        <w:rPr/>
        <w:t>pipeline capacity, Industry Definition?</w:t>
      </w:r>
      <w:r>
        <w:rPr>
          <w:b/>
        </w:rPr>
        <w:t>]</w:t>
      </w:r>
      <w:r>
        <w:rPr/>
        <w:t xml:space="preserve"> on EnronOnline, a proprietary website and electronic system owned and operated by Enron, to execute Transactions (as defined herein) through EnronOnline and to obtain certain services from Enron in connection therewith; and</w:t>
      </w:r>
    </w:p>
    <w:p>
      <w:pPr>
        <w:pStyle w:val="BodyText5LA"/>
        <w:rPr/>
      </w:pPr>
      <w:r>
        <w:rPr>
          <w:b/>
        </w:rPr>
        <w:t>WHEREAS</w:t>
      </w:r>
      <w:r>
        <w:rPr/>
        <w:t xml:space="preserve">, Enron has agreed to permit Pipeline Company to post such prices and to provide such other services in connection therewith, all on the terms and subject to the conditions set forth herein; and </w:t>
      </w:r>
      <w:r>
        <w:rPr>
          <w:b/>
        </w:rPr>
        <w:t xml:space="preserve"> </w:t>
      </w:r>
      <w:r>
        <w:rPr/>
        <w:t xml:space="preserve"> </w:t>
      </w:r>
      <w:r>
        <w:rPr>
          <w:b/>
        </w:rPr>
        <w:t xml:space="preserve"> </w:t>
      </w:r>
    </w:p>
    <w:p>
      <w:pPr>
        <w:pStyle w:val="BodyText5LA"/>
        <w:rPr/>
      </w:pPr>
      <w:r>
        <w:rPr>
          <w:b/>
        </w:rPr>
        <w:t>WHEREAS,</w:t>
      </w:r>
      <w:r>
        <w:rPr/>
        <w:t xml:space="preserve"> Pipeline Company and Enron desire to set forth the scope of the Services to be provided by Enron to Pipeline Company, the fees to be paid by Pipeline Company for such Services, and certain other matters; and</w:t>
      </w:r>
    </w:p>
    <w:p>
      <w:pPr>
        <w:pStyle w:val="BodyText5LA"/>
        <w:rPr/>
      </w:pPr>
      <w:r>
        <w:rPr>
          <w:b/>
        </w:rPr>
        <w:t xml:space="preserve">NOW, THEREFORE, </w:t>
      </w:r>
      <w:r>
        <w:rPr/>
        <w:t>in consideration of the mutual covenants and agreements contained herein, the parties agree as follows:</w:t>
      </w:r>
    </w:p>
    <w:p>
      <w:pPr>
        <w:pStyle w:val="Heading1"/>
        <w:ind w:hanging="0" w:start="0"/>
        <w:rPr/>
      </w:pPr>
      <w:bookmarkStart w:id="0" w:name="__RefHeading___Toc506720729"/>
      <w:bookmarkEnd w:id="0"/>
      <w:r>
        <w:rPr>
          <w:u w:val="single"/>
        </w:rPr>
        <w:t>DEFINITIONS</w:t>
      </w:r>
      <w:r>
        <w:rPr>
          <w:b w:val="false"/>
        </w:rPr>
        <w:t>.</w:t>
      </w:r>
    </w:p>
    <w:p>
      <w:pPr>
        <w:pStyle w:val="BodyTextIndent"/>
        <w:rPr/>
      </w:pPr>
      <w:r>
        <w:rPr/>
        <w:t xml:space="preserve">In addition to the terms defined elsewhere in this Agreement, the following terms have the meanings indicated for the purposes of this Agreement. </w:t>
      </w:r>
    </w:p>
    <w:p>
      <w:pPr>
        <w:pStyle w:val="BodyTextIndent"/>
        <w:ind w:firstLine="360" w:end="0"/>
        <w:rPr/>
      </w:pPr>
      <w:r>
        <w:rPr/>
        <w:t>“</w:t>
      </w:r>
      <w:r>
        <w:rPr/>
        <w:t xml:space="preserve">Basic Maintenance” means the Basic Service Program or the Premier Service Program, as set forth in Section 3 hereof and </w:t>
      </w:r>
      <w:r>
        <w:rPr>
          <w:u w:val="single"/>
        </w:rPr>
        <w:t>Schedule B</w:t>
      </w:r>
      <w:r>
        <w:rPr/>
        <w:t xml:space="preserve"> hereto.</w:t>
      </w:r>
    </w:p>
    <w:p>
      <w:pPr>
        <w:pStyle w:val="BodyTextIndent"/>
        <w:ind w:firstLine="360" w:end="0"/>
        <w:rPr/>
      </w:pPr>
      <w:r>
        <w:rPr/>
        <w:t>“</w:t>
      </w:r>
      <w:r>
        <w:rPr/>
        <w:t xml:space="preserve">Business Day” means a day on which the offices of Enron </w:t>
      </w:r>
      <w:r>
        <w:rPr>
          <w:b/>
        </w:rPr>
        <w:t>[</w:t>
      </w:r>
      <w:r>
        <w:rPr/>
        <w:t>in the City of _______</w:t>
      </w:r>
      <w:r>
        <w:rPr>
          <w:b/>
        </w:rPr>
        <w:t>]</w:t>
      </w:r>
      <w:r>
        <w:rPr/>
        <w:t xml:space="preserve"> are open for business.</w:t>
      </w:r>
    </w:p>
    <w:p>
      <w:pPr>
        <w:pStyle w:val="BodyTextIndent"/>
        <w:ind w:firstLine="360" w:end="0"/>
        <w:rPr/>
      </w:pPr>
      <w:r>
        <w:rPr/>
        <w:t>“</w:t>
      </w:r>
      <w:r>
        <w:rPr/>
        <w:t xml:space="preserve">Counterparty” means any third party identified by Pipeline Company to Enron as a party that has been approved by Pipeline Company as eligible to execute Transactions with Pipeline Company, and that has been approved by Enron for access to and utilization of EnronOnline. </w:t>
      </w:r>
    </w:p>
    <w:p>
      <w:pPr>
        <w:pStyle w:val="BodyTextIndent"/>
        <w:ind w:firstLine="360" w:end="0"/>
        <w:rPr/>
      </w:pPr>
      <w:r>
        <w:rPr/>
        <w:t>“</w:t>
      </w:r>
      <w:r>
        <w:rPr/>
        <w:t>Counterparty Profile” means a profile of a Counterparty developed and maintained by Enron containing information provided to Enron regarding such Counterparty as a result of such Counterparty’s use of EnronOnline, which shall include without limitation [SUMMARIZE INFORMATION TO BE INCLUDED IN PROFILES?]</w:t>
      </w:r>
    </w:p>
    <w:p>
      <w:pPr>
        <w:pStyle w:val="BodyTextIndent"/>
        <w:ind w:firstLine="360" w:end="0"/>
        <w:rPr>
          <w:b/>
        </w:rPr>
      </w:pPr>
      <w:r>
        <w:rPr/>
        <w:t>“</w:t>
      </w:r>
      <w:r>
        <w:rPr/>
        <w:t xml:space="preserve">Documentation” means all user information made generally available by Enron to Pipeline Company on the use of the Software. </w:t>
      </w:r>
    </w:p>
    <w:p>
      <w:pPr>
        <w:pStyle w:val="BodyTextIndent"/>
        <w:ind w:firstLine="360" w:end="0"/>
        <w:rPr/>
      </w:pPr>
      <w:r>
        <w:rPr/>
        <w:t>“</w:t>
      </w:r>
      <w:r>
        <w:rPr/>
        <w:t xml:space="preserve">EnronOnline” means the proprietary website and system owned and operated by Enron under the name “EnronOnline”, which is currently located at </w:t>
      </w:r>
      <w:hyperlink r:id="rId10">
        <w:r>
          <w:rPr>
            <w:rStyle w:val="Hyperlink"/>
          </w:rPr>
          <w:t>www.enrononline.com</w:t>
        </w:r>
      </w:hyperlink>
      <w:r>
        <w:rPr/>
        <w:t>, and any successor website and system.</w:t>
      </w:r>
    </w:p>
    <w:p>
      <w:pPr>
        <w:pStyle w:val="BodyTextIndent"/>
        <w:ind w:firstLine="360" w:end="0"/>
        <w:rPr/>
      </w:pPr>
      <w:r>
        <w:rPr/>
        <w:t>“</w:t>
      </w:r>
      <w:r>
        <w:rPr/>
        <w:t>Patches” means a bug fix or maintenance release that Enron may make generally available to the Pipeline Company.</w:t>
      </w:r>
    </w:p>
    <w:p>
      <w:pPr>
        <w:pStyle w:val="BodyTextIndent"/>
        <w:ind w:firstLine="360" w:end="0"/>
        <w:rPr/>
      </w:pPr>
      <w:r>
        <w:rPr/>
        <w:t>“</w:t>
      </w:r>
      <w:r>
        <w:rPr/>
        <w:t>Person” means any individual, partnership, corporation, limited liability company, trust, estate or other entity.</w:t>
      </w:r>
    </w:p>
    <w:p>
      <w:pPr>
        <w:pStyle w:val="BodyTextIndent"/>
        <w:ind w:firstLine="360" w:end="0"/>
        <w:rPr/>
      </w:pPr>
      <w:r>
        <w:rPr/>
        <w:t>“</w:t>
      </w:r>
      <w:r>
        <w:rPr/>
        <w:t>Pipeline Capacity” means natural gas pipeline volume, measured in cubic feet (ft</w:t>
      </w:r>
      <w:r>
        <w:rPr>
          <w:vertAlign w:val="superscript"/>
        </w:rPr>
        <w:t>3</w:t>
      </w:r>
      <w:r>
        <w:rPr/>
        <w:t xml:space="preserve">), which is available to transport natural gas and is offered for sale through EnronOnline by Pipeline Company. </w:t>
      </w:r>
      <w:r>
        <w:rPr>
          <w:b/>
        </w:rPr>
        <w:t>[</w:t>
      </w:r>
      <w:r>
        <w:rPr/>
        <w:t>INDUSTRY DEFINITION?</w:t>
      </w:r>
      <w:r>
        <w:rPr>
          <w:b/>
        </w:rPr>
        <w:t>]</w:t>
      </w:r>
    </w:p>
    <w:p>
      <w:pPr>
        <w:pStyle w:val="BodyTextIndent"/>
        <w:ind w:firstLine="360" w:end="0"/>
        <w:rPr/>
      </w:pPr>
      <w:r>
        <w:rPr>
          <w:rFonts w:eastAsia="Arial"/>
        </w:rPr>
        <w:t xml:space="preserve"> </w:t>
      </w:r>
      <w:r>
        <w:rPr/>
        <w:t>“</w:t>
      </w:r>
      <w:r>
        <w:rPr/>
        <w:t>Price Posting Application” means software which will enable Pipeline Company, with reasonable assistance from Enron, to display, sort and manage the posting of prices for Products on  EnronOnline.</w:t>
      </w:r>
    </w:p>
    <w:p>
      <w:pPr>
        <w:pStyle w:val="BodyTextIndent"/>
        <w:ind w:firstLine="360" w:end="0"/>
        <w:rPr/>
      </w:pPr>
      <w:r>
        <w:rPr/>
        <w:t>“</w:t>
      </w:r>
      <w:r>
        <w:rPr/>
        <w:t>Product” means each type of contract, instrument or transaction within a particular Product Type, defined by the nature of the underlying commodity and the term of such contract, instrument or transaction.  Variations in price or quantity will not result in the creation of different Products.  Products will be determined and defined by Enron in its reasonable judgment.</w:t>
      </w:r>
    </w:p>
    <w:p>
      <w:pPr>
        <w:pStyle w:val="BodyTextIndent"/>
        <w:ind w:firstLine="360" w:end="0"/>
        <w:rPr/>
      </w:pPr>
      <w:r>
        <w:rPr/>
        <w:t>“</w:t>
      </w:r>
      <w:r>
        <w:rPr/>
        <w:t>Product Control Group Application” means software that will enable Pipeline Company, with reasonable assistance from Enron, to monitor Products and Transactions within a given Product Type on EnronOnline.</w:t>
      </w:r>
    </w:p>
    <w:p>
      <w:pPr>
        <w:pStyle w:val="BodyTextIndent"/>
        <w:ind w:firstLine="360" w:end="0"/>
        <w:rPr/>
      </w:pPr>
      <w:r>
        <w:rPr/>
        <w:t>“</w:t>
      </w:r>
      <w:r>
        <w:rPr/>
        <w:t>Product Type” means a set of fundamental characteristics that are common to a number of different Products based on the same underlying commodity, including such characteristics as the nature of the supply commitment under such Product (e.g., firm versus interruptible supply) and/or the region of origin of the commodity.  Product types will be determined and defined by Enron in its reasonable judgment.</w:t>
      </w:r>
    </w:p>
    <w:p>
      <w:pPr>
        <w:pStyle w:val="BodyTextIndent"/>
        <w:ind w:firstLine="360" w:end="0"/>
        <w:rPr/>
      </w:pPr>
      <w:r>
        <w:rPr/>
        <w:t>“</w:t>
      </w:r>
      <w:r>
        <w:rPr/>
        <w:t>Report Management Application” means software which will enable Pipeline Company, with reasonable assistance from Enron, to prepare and maintain records or all prices for Products posted by Pipeline Company on EnronOnline and all Transactions executed by Pipeline Company through EnronOnline.</w:t>
      </w:r>
    </w:p>
    <w:p>
      <w:pPr>
        <w:pStyle w:val="BodyTextIndent"/>
        <w:ind w:firstLine="360" w:end="0"/>
        <w:rPr/>
      </w:pPr>
      <w:r>
        <w:rPr/>
        <w:t>“</w:t>
      </w:r>
      <w:r>
        <w:rPr/>
        <w:t>Services” means the Initial Services, the Support Services and the Transaction Services as set forth in this Agreement.</w:t>
      </w:r>
    </w:p>
    <w:p>
      <w:pPr>
        <w:pStyle w:val="BodyTextIndent"/>
        <w:ind w:firstLine="360" w:end="0"/>
        <w:rPr/>
      </w:pPr>
      <w:r>
        <w:rPr/>
        <w:t>“</w:t>
      </w:r>
      <w:r>
        <w:rPr/>
        <w:t>Software” means the Price Posting Application, Report Management Application and Product Control Group Application, all of which Enron will provide to Pipeline Company under the terms and conditions of this Agreement.</w:t>
      </w:r>
    </w:p>
    <w:p>
      <w:pPr>
        <w:pStyle w:val="BodyTextIndent"/>
        <w:ind w:firstLine="360" w:end="0"/>
        <w:rPr/>
      </w:pPr>
      <w:r>
        <w:rPr/>
        <w:t>“</w:t>
      </w:r>
      <w:r>
        <w:rPr/>
        <w:t xml:space="preserve">Supplemental Setup Agreement” means any agreement entered into between Enron and Pipeline Company which provides for a Supplemental Setup, as set forth in this Agreement. </w:t>
      </w:r>
    </w:p>
    <w:p>
      <w:pPr>
        <w:pStyle w:val="BodyTextIndent"/>
        <w:ind w:firstLine="360" w:end="0"/>
        <w:rPr/>
      </w:pPr>
      <w:r>
        <w:rPr/>
        <w:t>“</w:t>
      </w:r>
      <w:r>
        <w:rPr/>
        <w:t>Transaction” means a binding contract entered into in accordance with the Terms between Pipeline Company and a Counterparty through EnronOnline.</w:t>
      </w:r>
    </w:p>
    <w:p>
      <w:pPr>
        <w:pStyle w:val="BodyTextIndent"/>
        <w:ind w:firstLine="360" w:end="0"/>
        <w:rPr/>
      </w:pPr>
      <w:r>
        <w:rPr/>
        <w:t>“</w:t>
      </w:r>
      <w:r>
        <w:rPr/>
        <w:t>Transaction Services” means Pipeline Company’s access to EnronOnline, the posting of prices for Products by Pipeline Company on EnronOnline and the execution of Transactions between Pipeline Company and Counterparties through EnronOnline.</w:t>
      </w:r>
    </w:p>
    <w:p>
      <w:pPr>
        <w:pStyle w:val="BodyTextIndent"/>
        <w:ind w:firstLine="360" w:end="0"/>
        <w:rPr/>
      </w:pPr>
      <w:r>
        <w:rPr/>
        <w:t>“</w:t>
      </w:r>
      <w:r>
        <w:rPr/>
        <w:t>Updates” means any minor functionality modification or enhancement, including bug fixes, which Enron may hereunder develop and make generally available to Pipeline Company.  Updates are represented by a number change to the right of the decimal point of the Version of the Software.</w:t>
      </w:r>
    </w:p>
    <w:p>
      <w:pPr>
        <w:pStyle w:val="BodyTextIndent"/>
        <w:ind w:firstLine="360" w:end="0"/>
        <w:rPr/>
      </w:pPr>
      <w:r>
        <w:rPr/>
        <w:t>“</w:t>
      </w:r>
      <w:r>
        <w:rPr/>
        <w:t>Upgrades” means all new Versions; new releases and major enhancements of the Software that Enron may hereafter develop and make generally available to Pipeline Company.  Upgrades re represented by a number change to the left of the decimal point of the Version of the Software.</w:t>
      </w:r>
    </w:p>
    <w:p>
      <w:pPr>
        <w:pStyle w:val="BodyTextIndent"/>
        <w:ind w:firstLine="360" w:end="0"/>
        <w:rPr/>
      </w:pPr>
      <w:r>
        <w:rPr/>
        <w:t>“</w:t>
      </w:r>
      <w:r>
        <w:rPr/>
        <w:t xml:space="preserve">Version” means the release of the Software with the current release being the most up-to-date as of the Effective Date of this Agreement and the previous release being the one immediately prior. </w:t>
      </w:r>
    </w:p>
    <w:p>
      <w:pPr>
        <w:pStyle w:val="BodyTextIndent"/>
        <w:ind w:firstLine="360" w:end="0"/>
        <w:rPr/>
      </w:pPr>
      <w:r>
        <w:rPr/>
        <w:t>“</w:t>
      </w:r>
      <w:r>
        <w:rPr/>
        <w:t>Vertical Content” means a separate home page developed by Enron on EnronOnline on which all prices for Pipeline Capacity posted by Pipeline Company and other pipeline companies will be displayed, along with other information and services, all of the content and format of which shall be determined by Enron in its sole discretion.</w:t>
      </w:r>
    </w:p>
    <w:p>
      <w:pPr>
        <w:pStyle w:val="Heading1"/>
        <w:ind w:hanging="0" w:start="0"/>
        <w:rPr/>
      </w:pPr>
      <w:bookmarkStart w:id="1" w:name="__RefHeading___Toc506720730"/>
      <w:r>
        <w:rPr>
          <w:u w:val="single"/>
        </w:rPr>
        <w:t>INITIAL SERVICES; SUPPLEMENTAL SETUP AND BRIDGE SETUP</w:t>
      </w:r>
      <w:r>
        <w:rPr>
          <w:b w:val="false"/>
        </w:rPr>
        <w:t>.</w:t>
      </w:r>
      <w:bookmarkEnd w:id="1"/>
      <w:r>
        <w:rPr/>
        <w:t xml:space="preserve"> </w:t>
      </w:r>
    </w:p>
    <w:p>
      <w:pPr>
        <w:pStyle w:val="Heading2"/>
        <w:ind w:hanging="0" w:start="0"/>
        <w:rPr/>
      </w:pPr>
      <w:r>
        <w:rPr/>
        <w:t>Enron hereby agrees to provide to Pipeline Company the services set forth in this Section 2 (the “Initial Services”) in order to enable Pipeline Company to connect to EnronOnline, and to utilize the Transaction Services, all in accordance with and subject to the terms and conditions of this Agreement.  In particular, Enron will:</w:t>
      </w:r>
    </w:p>
    <w:p>
      <w:pPr>
        <w:pStyle w:val="Heading3"/>
        <w:ind w:hanging="0" w:start="0"/>
        <w:rPr/>
      </w:pPr>
      <w:r>
        <w:rPr/>
        <w:tab/>
        <w:t xml:space="preserve">Deliver to Pipeline Company, electronically or via first class U.S. mail, the Software.  Pipeline Company will be responsible for the installation of the Software on its own servers/workstations, </w:t>
      </w:r>
      <w:r>
        <w:rPr>
          <w:u w:val="single"/>
        </w:rPr>
        <w:t>provided</w:t>
      </w:r>
      <w:r>
        <w:rPr/>
        <w:t xml:space="preserve"> </w:t>
      </w:r>
      <w:r>
        <w:rPr>
          <w:u w:val="single"/>
        </w:rPr>
        <w:t>that</w:t>
      </w:r>
      <w:r>
        <w:rPr/>
        <w:t>, Enron will provide reasonable assistance, including Documentation, to Pipeline Company in connection with such installation.</w:t>
      </w:r>
    </w:p>
    <w:p>
      <w:pPr>
        <w:pStyle w:val="Heading3"/>
        <w:ind w:hanging="0" w:start="0"/>
        <w:rPr/>
      </w:pPr>
      <w:r>
        <w:rPr/>
        <w:tab/>
        <w:t>Test Pipeline Company’s hardware and software specifications in order to determine if such hardware is compatible and sufficient to enable Pipeline Company to utilize the Transaction Services and specify to Pipeline Company any additional hardware or software that may be required for such purposes.</w:t>
      </w:r>
    </w:p>
    <w:p>
      <w:pPr>
        <w:pStyle w:val="Heading3"/>
        <w:ind w:hanging="0" w:start="0"/>
        <w:rPr/>
      </w:pPr>
      <w:r>
        <w:rPr/>
        <w:tab/>
        <w:t>Develop and maintain on EnronOnline, (i) the Vertical Content, and (ii) if mutually agreed between Enron and Pipeline Company (subject to any additional conditions, limitations or requirements that may be imposed by Enron in its sole discretion), electronic links to Pipeline Company’s proprietary website or other third party websites.</w:t>
      </w:r>
    </w:p>
    <w:p>
      <w:pPr>
        <w:pStyle w:val="Heading3"/>
        <w:ind w:hanging="0" w:start="0"/>
        <w:rPr/>
      </w:pPr>
      <w:r>
        <w:rPr/>
        <w:tab/>
        <w:t>Assist Pipeline Company in testing the adequacy of telecommunications links and interfaces between Pipeline Company’s server and EnronOnline.</w:t>
      </w:r>
    </w:p>
    <w:p>
      <w:pPr>
        <w:pStyle w:val="Heading3"/>
        <w:ind w:hanging="0" w:start="0"/>
        <w:rPr/>
      </w:pPr>
      <w:r>
        <w:rPr/>
        <w:tab/>
        <w:t>Develop and maintain Counterparty Profiles and make such Profiles available to Pipeline Company on such terms and conditions, and subject to such limitations, as Enron may reasonably prescribe.</w:t>
      </w:r>
    </w:p>
    <w:p>
      <w:pPr>
        <w:pStyle w:val="Heading3"/>
        <w:ind w:hanging="0" w:start="0"/>
        <w:rPr/>
      </w:pPr>
      <w:r>
        <w:rPr/>
        <w:tab/>
        <w:t xml:space="preserve">Provide reasonable training to up to three of Pipeline Company’s employees who will be responsible for Pipeline Company’s access to and utilization of EnronOnline and the Transaction Services, in a manner reasonably sufficient to enable such employees to perform their duties to Pipeline Company in this regard. </w:t>
      </w:r>
      <w:r>
        <w:rPr>
          <w:b/>
        </w:rPr>
        <w:t>[</w:t>
      </w:r>
      <w:r>
        <w:rPr/>
        <w:t>ANY SPECIFIC AGREEMENTS AS TO TIME PERIOD OR CONTENT OF TRAINING, ETC.?</w:t>
      </w:r>
      <w:r>
        <w:rPr>
          <w:b/>
        </w:rPr>
        <w:t xml:space="preserve">] </w:t>
      </w:r>
    </w:p>
    <w:p>
      <w:pPr>
        <w:pStyle w:val="Heading3"/>
        <w:ind w:hanging="0" w:start="0"/>
        <w:rPr/>
      </w:pPr>
      <w:r>
        <w:rPr>
          <w:rFonts w:eastAsia="Arial"/>
        </w:rPr>
        <w:t xml:space="preserve"> </w:t>
      </w:r>
      <w:r>
        <w:rPr/>
        <w:t xml:space="preserve">Enable Pipeline Company to post prices for up to three (3) Product Types and up to thirty (30) Products on EnronOnline, and provide Basic Maintenance, for the Basic Maintenance Fee in accordance with </w:t>
      </w:r>
      <w:r>
        <w:rPr>
          <w:u w:val="single"/>
        </w:rPr>
        <w:t>Schedule A</w:t>
      </w:r>
      <w:r>
        <w:rPr/>
        <w:t xml:space="preserve">, in connection therewith. </w:t>
      </w:r>
    </w:p>
    <w:p>
      <w:pPr>
        <w:pStyle w:val="Heading3"/>
        <w:ind w:hanging="0" w:start="0"/>
        <w:rPr/>
      </w:pPr>
      <w:r>
        <w:rPr>
          <w:rFonts w:eastAsia="Arial"/>
        </w:rPr>
        <w:t xml:space="preserve"> </w:t>
      </w:r>
      <w:r>
        <w:rPr/>
        <w:t xml:space="preserve">Enable Pipeline Company, for an additional Supplemental Setup Fee in accordance with </w:t>
      </w:r>
      <w:r>
        <w:rPr>
          <w:u w:val="single"/>
        </w:rPr>
        <w:t>Schedule A</w:t>
      </w:r>
      <w:r>
        <w:rPr/>
        <w:t xml:space="preserve">, to post one (1) additional Product Type and up to ten (10) additional Product on EnronOnline (the “Supplemental Setup”) and provide Supplemental Maintenance, for sn annual Supplemental Maintenance Fee in accordance with </w:t>
      </w:r>
      <w:r>
        <w:rPr>
          <w:u w:val="single"/>
        </w:rPr>
        <w:t>Schedule A</w:t>
      </w:r>
      <w:r>
        <w:rPr/>
        <w:t xml:space="preserve">,  in connection therewith. </w:t>
      </w:r>
    </w:p>
    <w:p>
      <w:pPr>
        <w:pStyle w:val="Heading3"/>
        <w:ind w:hanging="0" w:start="0"/>
        <w:rPr/>
      </w:pPr>
      <w:r>
        <w:rPr>
          <w:rFonts w:eastAsia="Arial"/>
        </w:rPr>
        <w:t xml:space="preserve"> </w:t>
      </w:r>
      <w:r>
        <w:rPr/>
        <w:t xml:space="preserve">Enable Pipeline Company, for an additional Bridge Setup Fee in accordance with </w:t>
      </w:r>
      <w:r>
        <w:rPr>
          <w:u w:val="single"/>
        </w:rPr>
        <w:t>Schedule A</w:t>
      </w:r>
      <w:r>
        <w:rPr/>
        <w:t xml:space="preserve">, </w:t>
      </w:r>
      <w:r>
        <w:rPr>
          <w:b/>
        </w:rPr>
        <w:t>[</w:t>
      </w:r>
      <w:r>
        <w:rPr/>
        <w:t>REQUIRES FURTHER EXPLANATION.</w:t>
      </w:r>
      <w:r>
        <w:rPr>
          <w:b/>
        </w:rPr>
        <w:t>]</w:t>
      </w:r>
    </w:p>
    <w:p>
      <w:pPr>
        <w:pStyle w:val="Heading2"/>
        <w:tabs>
          <w:tab w:val="clear" w:pos="720"/>
          <w:tab w:val="left" w:pos="1080" w:leader="none"/>
        </w:tabs>
        <w:ind w:hanging="720" w:start="1080" w:end="0"/>
        <w:rPr/>
      </w:pPr>
      <w:r>
        <w:fldChar w:fldCharType="begin"/>
      </w:r>
      <w:r>
        <w:rPr/>
        <w:instrText xml:space="preserve"> LISTNUM </w:instrText>
      </w:r>
      <w:r>
        <w:rPr/>
      </w:r>
      <w:r>
        <w:rPr/>
        <w:fldChar w:fldCharType="separate"/>
      </w:r>
      <w:r>
        <w:rPr/>
      </w:r>
      <w:r>
        <w:rPr/>
      </w:r>
      <w:r>
        <w:rPr/>
        <w:fldChar w:fldCharType="end"/>
      </w:r>
      <w:r>
        <w:rPr/>
        <w:tab/>
        <w:t xml:space="preserve">Enron hereby grants to Pipeline Company a non-exclusive, non-transferable, limited license to use, possess, install and access during the term of this Agreement the Software, such license being solely for the purpose of Pipeline Company’s internal use to access and make use of the Services provided under this Agreement and such access being limited to authorized employees, subcontractors and on-site consultants (each of which shall be bound by the restrictions set forth in this Agreement) of Pipeline Company.  </w:t>
      </w:r>
      <w:r>
        <w:rPr>
          <w:b/>
        </w:rPr>
        <w:t>[</w:t>
      </w:r>
      <w:r>
        <w:rPr/>
        <w:t xml:space="preserve"> IS IT FEASIBLE/DESIRABLE TO RESTRICT TO CERTAIN WORKSTATIONS OR SERVERS, CERTAIN NUMBER OF COPIES PLUS BACK-UPS, ETC.? </w:t>
      </w:r>
      <w:r>
        <w:rPr>
          <w:b/>
        </w:rPr>
        <w:t>]</w:t>
      </w:r>
    </w:p>
    <w:p>
      <w:pPr>
        <w:pStyle w:val="Heading3"/>
        <w:ind w:hanging="0" w:start="0"/>
        <w:rPr/>
      </w:pPr>
      <w:r>
        <w:rPr/>
        <w:tab/>
        <w:t>As between Enron and Pipeline Company, Enron retains title to the Software and does not convey any proprietary interest therein to Pipeline Company other than the licenses as specified herein.  Pipeline Company covenants and agrees not to, or to permit or assist others to, reverse engineer, translate, decompile, disassemble or otherwise derive source code from the Software or to modify or make any derivative works from the Software.  Pipeline Company shall not make any such permitted copies without including all copyright and intellectual property rights notices contained in the original.  Pipeline Company shall not take any actions inconsistent with the foregoing.</w:t>
      </w:r>
    </w:p>
    <w:p>
      <w:pPr>
        <w:pStyle w:val="Heading2"/>
        <w:ind w:hanging="0" w:start="0"/>
        <w:rPr/>
      </w:pPr>
      <w:r>
        <w:rPr/>
        <w:t>Pipeline Company shall establish and maintain at all times during the term of this Agreement, at its own cost and expense, any and all hardware, software and support systems and services, and any and all telecommunications links or other links or interfaces, that may be necessary or appropriate to enable Pipeline Company to utilize the Transaction Services, including but not limited to the systems, services, links and interfaces that are necessary or appropriate in order to enable Pipeline Company to establish and maintain its connections to EnronOnline.  Without limitation of the foregoing, Pipeline Company shall be solely responsible for any and all costs incurred in connection with Enron’s provision of the Initial Services, Supplemental Setup and Bridge Setup, including but not limited to the costs of any additional hardware, software, telecommunications lines or other equipment.</w:t>
      </w:r>
    </w:p>
    <w:p>
      <w:pPr>
        <w:pStyle w:val="Heading2"/>
        <w:ind w:hanging="0" w:start="0"/>
        <w:rPr/>
      </w:pPr>
      <w:r>
        <w:rPr/>
        <w:t xml:space="preserve">Notwithstanding Enron’s provision of the Initial Services, it is understood and agreed that Pipeline Company will not be able to access EnronOnline or to utilize the Transaction Services, unless and until Enron has determined in its sole discretion, that Pipeline Company is able to connect adequately to EnronOnline and to utilize the Transaction Services in accordance with this Agreement. </w:t>
      </w:r>
    </w:p>
    <w:p>
      <w:pPr>
        <w:pStyle w:val="Heading1"/>
        <w:ind w:hanging="0" w:start="0"/>
        <w:rPr/>
      </w:pPr>
      <w:bookmarkStart w:id="2" w:name="__RefHeading___Toc506720731"/>
      <w:r>
        <w:rPr>
          <w:u w:val="single"/>
        </w:rPr>
        <w:t>SUPPORT SERVICES</w:t>
      </w:r>
      <w:r>
        <w:rPr/>
        <w:t>.</w:t>
      </w:r>
      <w:bookmarkEnd w:id="2"/>
      <w:r>
        <w:rPr/>
        <w:t xml:space="preserve">  </w:t>
      </w:r>
    </w:p>
    <w:p>
      <w:pPr>
        <w:pStyle w:val="BodyTextIndent"/>
        <w:rPr/>
      </w:pPr>
      <w:r>
        <w:rPr/>
        <w:t xml:space="preserve">Subsequent to the completion of the Initial Services, Enron shall, during the term of this Agreement, provide the following additional support and maintenance services (the “Support Services”) to Pipeline Company: </w:t>
      </w:r>
      <w:r>
        <w:rPr>
          <w:b/>
        </w:rPr>
        <w:t>[</w:t>
      </w:r>
      <w:r>
        <w:rPr/>
        <w:t>NEED MORE DETAIL ON THESE SERVICES, WHAT FOLLOWS (INCLUDING SCHEDULE B) IS ONE POSSIBLE APPROACH TO THE SUPPORT SERVICES</w:t>
      </w:r>
      <w:r>
        <w:rPr>
          <w:b/>
        </w:rPr>
        <w:t>]</w:t>
      </w:r>
      <w:r>
        <w:rPr/>
        <w:t xml:space="preserve"> </w:t>
      </w:r>
    </w:p>
    <w:p>
      <w:pPr>
        <w:pStyle w:val="Heading2"/>
        <w:ind w:hanging="0" w:start="0"/>
        <w:rPr/>
      </w:pPr>
      <w:r>
        <w:rPr/>
        <w:t xml:space="preserve">Enron represents and agrees to maintain the current and previous Version, and related Updates and Upgrades in accordance with the terms of this Agreement in consideration of Pipeline Company’s payment of the fees listed in </w:t>
      </w:r>
      <w:r>
        <w:rPr>
          <w:u w:val="single"/>
        </w:rPr>
        <w:t>Schedule A</w:t>
      </w:r>
      <w:r>
        <w:rPr/>
        <w:t xml:space="preserve">.  </w:t>
      </w:r>
      <w:r>
        <w:rPr>
          <w:b/>
        </w:rPr>
        <w:t xml:space="preserve">After implementation of an Upgrade to Software licensed from Enron, Pipeline Company is no longer authorized to use the Software that formed the basis for Pipeline Company’s Upgrade eligibility.  </w:t>
      </w:r>
    </w:p>
    <w:p>
      <w:pPr>
        <w:pStyle w:val="Heading3"/>
        <w:ind w:hanging="0" w:start="0"/>
        <w:rPr/>
      </w:pPr>
      <w:r>
        <w:rPr/>
        <w:tab/>
        <w:t xml:space="preserve">Enron will make available to Pipeline Company the Basic Service or the Premier Service (“Basic Maintenance”), as set forth in </w:t>
      </w:r>
      <w:r>
        <w:rPr>
          <w:u w:val="single"/>
        </w:rPr>
        <w:t>Schedule B</w:t>
      </w:r>
      <w:r>
        <w:rPr/>
        <w:t xml:space="preserve">. </w:t>
      </w:r>
    </w:p>
    <w:p>
      <w:pPr>
        <w:pStyle w:val="Heading2"/>
        <w:ind w:hanging="0" w:start="0"/>
        <w:rPr/>
      </w:pPr>
      <w:r>
        <w:rPr/>
        <w:t xml:space="preserve">Enron will use its commercially reasonable efforts to respond to service calls in accordance with the response times and resolution procedures set forth in </w:t>
      </w:r>
      <w:r>
        <w:rPr>
          <w:u w:val="single"/>
        </w:rPr>
        <w:t>Schedule B</w:t>
      </w:r>
      <w:r>
        <w:rPr/>
        <w:t xml:space="preserve">, depending on the severity of the problem, as defined in </w:t>
      </w:r>
      <w:r>
        <w:rPr>
          <w:u w:val="single"/>
        </w:rPr>
        <w:t>Schedule B</w:t>
      </w:r>
      <w:r>
        <w:rPr/>
        <w:t xml:space="preserve">. </w:t>
      </w:r>
    </w:p>
    <w:p>
      <w:pPr>
        <w:pStyle w:val="BodyTextIndent5"/>
        <w:rPr/>
      </w:pPr>
      <w:r>
        <w:rPr/>
        <w:tab/>
      </w:r>
      <w:r>
        <w:rPr>
          <w:b/>
        </w:rPr>
        <w:t>[</w:t>
      </w:r>
      <w:r>
        <w:rPr/>
        <w:t>SHOULD OTHER SERVICES BE ADDRESSED AT THIS POINT?</w:t>
      </w:r>
      <w:r>
        <w:rPr>
          <w:b/>
        </w:rPr>
        <w:t>]</w:t>
      </w:r>
      <w:r>
        <w:rPr/>
        <w:t xml:space="preserve"> </w:t>
      </w:r>
    </w:p>
    <w:p>
      <w:pPr>
        <w:pStyle w:val="Heading1"/>
        <w:ind w:hanging="0" w:start="0"/>
        <w:rPr/>
      </w:pPr>
      <w:bookmarkStart w:id="3" w:name="__RefHeading___Toc506720732"/>
      <w:r>
        <w:rPr>
          <w:u w:val="single"/>
        </w:rPr>
        <w:t>FEES AND EXPENSES</w:t>
      </w:r>
      <w:r>
        <w:rPr>
          <w:b w:val="false"/>
        </w:rPr>
        <w:t>.</w:t>
      </w:r>
      <w:bookmarkEnd w:id="3"/>
      <w:r>
        <w:rPr/>
        <w:t xml:space="preserve"> </w:t>
      </w:r>
    </w:p>
    <w:p>
      <w:pPr>
        <w:pStyle w:val="BodyTextIndent"/>
        <w:rPr/>
      </w:pPr>
      <w:r>
        <w:rPr/>
        <w:t xml:space="preserve">In consideration of the Services to be provided to Pipeline Company by Enron under this Agreement, Pipeline Company will pay to Enron the fees and expenses as set forth on </w:t>
      </w:r>
      <w:r>
        <w:rPr>
          <w:u w:val="single"/>
        </w:rPr>
        <w:t>Schedule A</w:t>
      </w:r>
      <w:r>
        <w:rPr/>
        <w:t xml:space="preserve">.  All such fees and expenses shall be paid within the time periods specified on such </w:t>
      </w:r>
      <w:r>
        <w:rPr>
          <w:u w:val="single"/>
        </w:rPr>
        <w:t>Schedule A</w:t>
      </w:r>
      <w:r>
        <w:rPr/>
        <w:t xml:space="preserve">. </w:t>
      </w:r>
    </w:p>
    <w:p>
      <w:pPr>
        <w:pStyle w:val="Heading1"/>
        <w:ind w:hanging="0" w:start="0"/>
        <w:rPr/>
      </w:pPr>
      <w:bookmarkStart w:id="4" w:name="__RefHeading___Toc506720733"/>
      <w:bookmarkEnd w:id="4"/>
      <w:r>
        <w:rPr>
          <w:u w:val="single"/>
        </w:rPr>
        <w:t>TERMS OF ACCESS</w:t>
      </w:r>
      <w:r>
        <w:rPr/>
        <w:t>.</w:t>
      </w:r>
    </w:p>
    <w:p>
      <w:pPr>
        <w:pStyle w:val="Heading2"/>
        <w:numPr>
          <w:ilvl w:val="0"/>
          <w:numId w:val="0"/>
        </w:numPr>
        <w:ind w:hanging="0" w:start="360" w:end="0"/>
        <w:rPr/>
      </w:pPr>
      <w:r>
        <w:rPr/>
        <w:t>This Agreement, taken together with (i) any procedures established by Enron with respect to the access and utilization of EnronOnline and the Transaction Services by Pipeline Company, and (ii) other terms and conditions specified or referred to on EnronOnline from time to time, will govern the access and utilization of EnronOnline and the Transaction Services by Pipeline Company (collectively, the “Terms”).</w:t>
      </w:r>
    </w:p>
    <w:p>
      <w:pPr>
        <w:pStyle w:val="Heading1"/>
        <w:ind w:hanging="0" w:start="0"/>
        <w:rPr/>
      </w:pPr>
      <w:bookmarkStart w:id="5" w:name="__RefHeading___Toc506720734"/>
      <w:bookmarkEnd w:id="5"/>
      <w:r>
        <w:rPr>
          <w:u w:val="single"/>
        </w:rPr>
        <w:t>USER IDs AND PASSWORDS</w:t>
      </w:r>
      <w:r>
        <w:rPr>
          <w:b w:val="false"/>
        </w:rPr>
        <w:t>.</w:t>
      </w:r>
    </w:p>
    <w:p>
      <w:pPr>
        <w:pStyle w:val="Heading2"/>
        <w:ind w:hanging="0" w:start="0"/>
        <w:rPr/>
      </w:pPr>
      <w:r>
        <w:rPr/>
        <w:t>Enron shall issue to Pipeline Company, through its employees designated as its administrator(s) with respect to Pipeline Company’s access to and use of EnronOnline (“Administrator”), one or more user IDs and passwords (collectively, the "Passwords") for use by persons authorized by Pipeline Company.  The initial Administrator is identified on the signature page hereof and Pipeline Company will notify Enron promptly of any change in such Administrator.  Pipeline Company will be solely responsible for controlling and monitoring the use of its Passwords, will provide the Passwords only to its employees who are authorized to access EnronOnline and will immediately notify Enron of any unauthorized disclosure or use of the Passwords or access to EnronOnline or of the need to deactivate any Passwords.  Pipeline Company acknowledges and agrees that it will be bound by any actions taken through the use of its Passwords (except through the fault or negligence of Enron), including the execution of Transactions, whether or not such actions were authorized. Pipeline Company will only use the Passwords to access and use EnronOnline and the Transaction Services only</w:t>
      </w:r>
      <w:r>
        <w:rPr>
          <w:b/>
        </w:rPr>
        <w:t xml:space="preserve"> </w:t>
      </w:r>
      <w:r>
        <w:rPr/>
        <w:t>from the jurisdictions specified by Pipeline Company and accepted by Enron.  The Administrator shall be responsible for all communications between Enron and Pipeline Company and any notices or other communications sent to the Administrator by Enron shall be binding on Pipeline Company.</w:t>
      </w:r>
    </w:p>
    <w:p>
      <w:pPr>
        <w:pStyle w:val="Heading2"/>
        <w:ind w:hanging="0" w:start="0"/>
        <w:rPr/>
      </w:pPr>
      <w:r>
        <w:rPr/>
        <w:t xml:space="preserve">Enron shall issue up to two unique Passwords to each Counterparty, to enable such Counterparty to access EnronOnline, enter into Transactions with Pipeline Company.  As between Enron and Pipeline Company, Pipeline Company shall be solely responsible for any and all actions taken through the use of a Counterparty’s Passwords (other than through the fault or negligence of Enron), including but not limited to the execution of Transactions.  It is understood and agreed that Enron may, in its sole discretion and at any time, terminate or limit a Counterparty’s access to and utilization of EnronOnline for any reason whatsoever. </w:t>
      </w:r>
    </w:p>
    <w:p>
      <w:pPr>
        <w:pStyle w:val="Heading1"/>
        <w:ind w:hanging="0" w:start="0"/>
        <w:rPr/>
      </w:pPr>
      <w:bookmarkStart w:id="6" w:name="__RefHeading___Toc506720735"/>
      <w:bookmarkEnd w:id="6"/>
      <w:r>
        <w:rPr>
          <w:u w:val="single"/>
        </w:rPr>
        <w:t>POSTING OF PRICES; EXECUTION OF TRANSACTIONS</w:t>
      </w:r>
      <w:r>
        <w:rPr/>
        <w:t>.</w:t>
      </w:r>
    </w:p>
    <w:p>
      <w:pPr>
        <w:pStyle w:val="Heading2"/>
        <w:ind w:hanging="0" w:start="0"/>
        <w:rPr/>
      </w:pPr>
      <w:r>
        <w:rPr/>
        <w:t xml:space="preserve">Pipeline Company shall post prices on EnronOnline for Transactions in the Products in such form and manner as may be specified in the Terms and any prices that do not comply with the terms will not be so posted.  </w:t>
      </w:r>
      <w:r>
        <w:rPr>
          <w:b/>
        </w:rPr>
        <w:t>[</w:t>
      </w:r>
      <w:r>
        <w:rPr/>
        <w:t>MORE DETAIL RE POSTING PROCEDURES?</w:t>
      </w:r>
      <w:r>
        <w:rPr>
          <w:b/>
        </w:rPr>
        <w:t>]</w:t>
      </w:r>
      <w:r>
        <w:rPr/>
        <w:t xml:space="preserve">  Each Transaction executed through EnronOnline against price for Products posted by Pipeline Company will be binding on Pipeline Company at the time that a Counterparty’s acceptance of Pipeline Company’s offer for such Product is received by EnronOnline (unless another time is specified in the Terms).  Upon the execution of a binding Transaction in accordance with this Agreement and the Terms, Pipeline Company agrees that: (i) it will be obligated to pay to Enron the fees due in connection with such Transaction, in accordance with </w:t>
      </w:r>
      <w:r>
        <w:rPr>
          <w:u w:val="single"/>
        </w:rPr>
        <w:t>Schedule A</w:t>
      </w:r>
      <w:r>
        <w:rPr/>
        <w:t xml:space="preserve"> regardless of whether the Transaction is performed, settled or otherwise completed by Pipeline Company and its Counterparty; and (ii) the resulting Transaction will constitute a legally binding obligation of Pipeline Company, with respect to its Counterparty, to complete the Transaction in accordance with its terms and  subject to the terms of any master or other applicable agreements between Pipeline Company and its Counterparty, </w:t>
      </w:r>
      <w:r>
        <w:rPr>
          <w:u w:val="single"/>
        </w:rPr>
        <w:t>provided</w:t>
      </w:r>
      <w:r>
        <w:rPr/>
        <w:t xml:space="preserve"> </w:t>
      </w:r>
      <w:r>
        <w:rPr>
          <w:u w:val="single"/>
        </w:rPr>
        <w:t>that</w:t>
      </w:r>
      <w:r>
        <w:rPr/>
        <w:t xml:space="preserve"> PIPELINE COMPANY ACKNOWLEDGES, UNDERSTANDS AND ACCEPTS THAT ENRON SHALL HAVE NO INVOLVEMENT IN AND NO RESPONSIBILITY OR LIABILITY FOR ANY MATTERS RELATED TO THE TRANSACTION OR THE COMPLETION OR DOCUMENTATION OF THE TRANSACTION SUBSEQUENT TO ITS EXECUTION THROUGH ENRONONLINE, INCLUDING BUT NOT LIMITED TO THE CREDITWORTHINESS OF ANY COUNTERPARTY OR THE ENFORCEABILITY OF ITS OBLIGATIONS, ALL OF WHICH SHALL BE THE SOLE RESPONSIBILITY OF PIPELINE COMPANY AND/OR ITS COUNTERPARTY, AS APPLICABLE.  PIPELINE COMPANY ACKNOWLEDGES AND AGREES THAT ENRON WILL NOT BE A PARTY TO ANY TRANSACTION EXECUTED THROUGH ENRONONLINE.  THE COUNTERPARTY TO ANY TRANSACTION MAY RELY ON PIPELINE COMPANY'S AGREEMENTS HEREUNDER AS TO THE BINDING NATURE OF SUCH TRANSACTION AND AGREES THAT THE COUNTERPARTY MAY DIRECTLY ENFORCE PIPELINE COMPANY’S OBLIGATIONS UNDER SUCH TRANSACTION AGAINST PIPELINE COMPANY.  </w:t>
      </w:r>
    </w:p>
    <w:p>
      <w:pPr>
        <w:pStyle w:val="Heading2"/>
        <w:ind w:hanging="0" w:start="0"/>
        <w:rPr/>
      </w:pPr>
      <w:r>
        <w:rPr/>
        <w:t>Pipeline Company agrees that Transactions executed through EnronOnline shall be deemed to be "in writing" and to have been "signed" for all purposes and that any record of any such Transaction will be deemed to be in "writing".  Pipeline Company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ind w:hanging="0" w:start="0"/>
        <w:rPr/>
      </w:pPr>
      <w:r>
        <w:rPr/>
        <w:t xml:space="preserve">Pipeline Company shall be solely responsible for all matters related to its relationships with the Counterparties and any and all Transactions entered into with such Counterparties through EnronOnline (other than the matching of Pipeline Company with any such Counterparty through  EnronOnline), including but not limited to any and all documentation between Pipeline Company and the Counterparty and Pipeline Company’s evaluation of the creditworthiness and performance capabilities of the Counterparty.  In addition, while EnronOnline will notify both Pipeline Company and the Counterparty of the execution of any Transactions through EnronOnline, Pipeline Company shall be solely responsible for the issuance of any confirmations or other notices required to be provided to the Counterparty pursuant to any agreements between Pipeline Company and the Counterparty. </w:t>
      </w:r>
    </w:p>
    <w:p>
      <w:pPr>
        <w:pStyle w:val="Heading2"/>
        <w:ind w:hanging="0" w:start="0"/>
        <w:rPr/>
      </w:pPr>
      <w:r>
        <w:rPr/>
        <w:t>Pipeline Company shall be liable for all taxes and duties (other than franchise and income taxes owed by Enron) arising out of this Agreement or any Transactions executed by Pipeline Company through EnronOnline, including, without limitation, taxes and duties levied by non-U.S. jurisdictions.</w:t>
      </w:r>
    </w:p>
    <w:p>
      <w:pPr>
        <w:pStyle w:val="Heading1"/>
        <w:ind w:hanging="0" w:start="0"/>
        <w:rPr/>
      </w:pPr>
      <w:bookmarkStart w:id="7" w:name="__RefHeading___Toc506720736"/>
      <w:bookmarkEnd w:id="7"/>
      <w:r>
        <w:rPr>
          <w:color w:val="000000"/>
          <w:u w:val="single"/>
        </w:rPr>
        <w:t>TERM</w:t>
      </w:r>
      <w:r>
        <w:rPr>
          <w:b w:val="false"/>
        </w:rPr>
        <w:t>.</w:t>
      </w:r>
    </w:p>
    <w:p>
      <w:pPr>
        <w:pStyle w:val="BodyTextIndent"/>
        <w:rPr/>
      </w:pPr>
      <w:r>
        <w:rPr/>
        <w:t>This Agreement will com</w:t>
        <w:softHyphen/>
        <w:t xml:space="preserve">mence as of the date hereof and will continue thereafter unless and until terminated by (a) Enron, immediately upon written notice to Pipeline Company, or </w:t>
      </w:r>
      <w:r>
        <w:rPr>
          <w:b/>
        </w:rPr>
        <w:t>[</w:t>
      </w:r>
      <w:r>
        <w:rPr/>
        <w:t>(b) by Pipeline Company, upon 30 days’ written notice to Enron</w:t>
      </w:r>
      <w:r>
        <w:rPr>
          <w:b/>
        </w:rPr>
        <w:t>]</w:t>
      </w:r>
      <w:r>
        <w:rPr/>
        <w:t>, provided that this Agreement shall remain in effect with respect to any Transactions effected prior to such termination.  Each party's continuing obligations under this Agreement and the Terms, including, without limitation, those relating to "Indemnifica</w:t>
        <w:softHyphen/>
        <w:t xml:space="preserve">tion" and "Confidentiality", will survive the termination of this Agreement.  In the event of a termination of this Agreement by Enron, Enron will refund to Pipeline Company a </w:t>
      </w:r>
      <w:r>
        <w:rPr>
          <w:u w:val="single"/>
        </w:rPr>
        <w:t>pro</w:t>
      </w:r>
      <w:r>
        <w:rPr/>
        <w:t xml:space="preserve"> </w:t>
      </w:r>
      <w:r>
        <w:rPr>
          <w:u w:val="single"/>
        </w:rPr>
        <w:t>rata</w:t>
      </w:r>
      <w:r>
        <w:rPr/>
        <w:t xml:space="preserve"> portion of the Basic Maintenance Fee and [OTHER FEES THAT SHOULD BE SUBJECT TO PRO RATA REFUND? IF ENRON TERMINATES SHORTLY AFTER INCEPTION, SHOULD PART OF INITIAL SETUP FEE BE REFUNDED?], </w:t>
      </w:r>
      <w:r>
        <w:rPr>
          <w:u w:val="single"/>
        </w:rPr>
        <w:t>provided</w:t>
      </w:r>
      <w:r>
        <w:rPr/>
        <w:t xml:space="preserve"> </w:t>
      </w:r>
      <w:r>
        <w:rPr>
          <w:u w:val="single"/>
        </w:rPr>
        <w:t>that</w:t>
      </w:r>
      <w:r>
        <w:rPr/>
        <w:t>, Pipeline Company shall not be entitled to any such refunds in the event of a termination of this Agreement by Enron due to a material breach by Pipeline Company of any of its agreements, representations, warranties or covenants hereunder.</w:t>
      </w:r>
    </w:p>
    <w:p>
      <w:pPr>
        <w:pStyle w:val="Heading1"/>
        <w:ind w:hanging="0" w:start="0"/>
        <w:rPr/>
      </w:pPr>
      <w:bookmarkStart w:id="8" w:name="__RefHeading___Toc506720737"/>
      <w:bookmarkEnd w:id="8"/>
      <w:r>
        <w:rPr>
          <w:u w:val="single"/>
        </w:rPr>
        <w:t>PIPELINE COMPANY’S REPRESENTATIONS, WARRANTIES AND COVENANTS</w:t>
      </w:r>
      <w:r>
        <w:rPr>
          <w:b w:val="false"/>
        </w:rPr>
        <w:t>.</w:t>
      </w:r>
    </w:p>
    <w:p>
      <w:pPr>
        <w:pStyle w:val="BodyTextIndent"/>
        <w:rPr/>
      </w:pPr>
      <w:r>
        <w:rPr/>
        <w:t>Pipeline Company hereby represents, warrants and covenants as follows:</w:t>
      </w:r>
    </w:p>
    <w:p>
      <w:pPr>
        <w:pStyle w:val="Heading2"/>
        <w:ind w:hanging="0" w:start="0"/>
        <w:rPr/>
      </w:pPr>
      <w:r>
        <w:rPr/>
        <w:t>Pipeline Company will access and utilize EnronOnline (including but not limited to the execution of Transactions) solely for its own internal business and commercial purposes and in accordance with the terms and conditions of this Agreement and the Terms. Without limitation of the foregoing, Pipeline Company will not utilize EnronOnline, or enter into Transactions, on behalf of any third parties or sell, lease, store, retransmit, redistribute or provide, directly or indirectly, any portion of the content of EnronOnline to any third party. Pipeline Company acknowledges that EnronOnline is the exclusive and proprietary property of Enron, and that Pipeline Company shall have no rights with respect thereto. Pipeline Company agrees to protect the proprietary rights of Enron in EnronOnline and Pipeline Company shall comply with reasonable requests made by Enron to protect such rights.</w:t>
      </w:r>
    </w:p>
    <w:p>
      <w:pPr>
        <w:pStyle w:val="Heading2"/>
        <w:ind w:hanging="0" w:start="0"/>
        <w:rPr/>
      </w:pPr>
      <w:r>
        <w:rPr/>
        <w:t xml:space="preserve">Enron may, in its sole discretion, with or without notice to Pipeline Company, temporarily or permanently cease to provide EnronOnline or suspend, terminate or restrict Pipeline Company’s access to and utilization of EnronOnline. Pipeline Company shall supply Enron with all information reasonably requested by Enron concerning Pipeline Company and its access to and utilization of EnronOnline. Pipeline Company acknowledges that its access to and utilization of EnronOnline may be monitored by Enron for Enron’s own purposes, and not for the benefit of Pipeline Company, and that the resultant information may be utilized by Enron. </w:t>
      </w:r>
    </w:p>
    <w:p>
      <w:pPr>
        <w:pStyle w:val="Heading2"/>
        <w:ind w:hanging="0" w:start="0"/>
        <w:rPr/>
      </w:pPr>
      <w:r>
        <w:rPr/>
        <w:t xml:space="preserve">Pipeline Company shall comply with any and all laws, rules, regulations or orders applicable to Pipeline Company’s access to and use of EnronOnline. </w:t>
      </w:r>
    </w:p>
    <w:p>
      <w:pPr>
        <w:pStyle w:val="Heading2"/>
        <w:ind w:hanging="0" w:start="0"/>
        <w:rPr/>
      </w:pPr>
      <w:r>
        <w:rPr/>
        <w:t xml:space="preserve">By entering into this Agreement, Pipeline Company itself is executing this Agreement on its own behalf. Pipeline Company has all necessary power and authority to execute and perform this Agreement and this Agreement is its legal, valid and binding agreement, enforceable against Pipeline Company in accordance with its terms. Neither the execution of or performance under this Agreement by Pipeline Company violates any federal, state or local law, ordinance, code, rule, regulation or order, including, without limitation, those promulgated by the Federal Energy Regulatory Commission, or any agreement, document or instrument, binding on or applicable to Pipeline Company.  Pipeline Company has any and all licenses, consents, registrations, permits or other similar approvals that are required under applicable laws or regulations in order to enable Pipeline Company to utilize the Services, execute Transactions and perform its obligations to its Counterparties pursuant to such Transactions, including but not limited to any licenses from or registrations with the Federal Energy Regulation Commission. </w:t>
      </w:r>
    </w:p>
    <w:p>
      <w:pPr>
        <w:pStyle w:val="Heading2"/>
        <w:ind w:hanging="0" w:start="0"/>
        <w:rPr/>
      </w:pPr>
      <w:r>
        <w:rPr/>
        <w:t>Pipeline Company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Pipeline Company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p>
    <w:p>
      <w:pPr>
        <w:pStyle w:val="Heading2"/>
        <w:ind w:hanging="0" w:start="0"/>
        <w:rPr/>
      </w:pPr>
      <w:r>
        <w:rPr>
          <w:rFonts w:eastAsia="Arial"/>
        </w:rPr>
        <w:t xml:space="preserve"> </w:t>
      </w:r>
      <w:r>
        <w:rPr/>
        <w:t xml:space="preserve">Pipeline Company has reviewed and understands the Terms established by Enron with respect to the execution of Transactions and agrees to comply with such Terms (and with any changed or amended procedures established by Enron that are posted on EnronOnline) in connection with such Transactions. </w:t>
      </w:r>
    </w:p>
    <w:p>
      <w:pPr>
        <w:pStyle w:val="Heading2"/>
        <w:ind w:hanging="0" w:start="0"/>
        <w:rPr/>
      </w:pPr>
      <w:r>
        <w:rPr/>
        <w:t xml:space="preserve">EnronOnline may provide links to certain internet sites sponsored and maintained by third parties. Such sites are publicly available and Enron is providing access to such links through EnronOnline solely as a convenience to Pipeline Company.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Pipeline Company understands and agrees that it will use or rely on such sites solely at its own risk and that Enron does not grant Pipeline Company any rights in respect of such sites. </w:t>
      </w:r>
    </w:p>
    <w:p>
      <w:pPr>
        <w:pStyle w:val="Heading2"/>
        <w:ind w:hanging="0" w:start="0"/>
        <w:rPr/>
      </w:pPr>
      <w:r>
        <w:rPr/>
        <w:t xml:space="preserve">PIPELINE COMPANY ACKNOWLEDGES, UNDERSTANDS AND ACCEPTS THAT (i) ENRON MAKES NO WARRANTY WHATSOEVER TO PIPELINE COMPANY AS TO ENRONONLINE, OR THE RESULTS OF PIPELINE COMPANY’S USE OF ENRONONLINE , EXPRESS OR IMPLIED, AND (ii) ENRONONLINE IS PROVIDED BY ENRON ON AN "AS IS" BASIS AT PIPELINE COMPANY’S SOLE RISK AND ENRON EXPRESSLY DISCLAIMS ANY IMPLIED WARRANTIES OF SATISFACTORY QUALITY OR FITNESS FOR A PARTICULAR PURPOSE. </w:t>
      </w:r>
    </w:p>
    <w:p>
      <w:pPr>
        <w:pStyle w:val="Heading2"/>
        <w:ind w:hanging="0" w:start="0"/>
        <w:rPr/>
      </w:pPr>
      <w:r>
        <w:rPr/>
        <w:t xml:space="preserve">WITHOUT LIMITATION OF THE FOREGOING, PIPELINE COMPANY ACKNOWLEDGES, UNDERSTANDS AND ACCEPTS THAT, EXCEPT AS EXPRESSLY SET FORTH HEREIN, THE SOFTWARE AND THE LICENCE GRANTED HEREUNDER IS DELIVERED AND CONVEYED “AS-IS” AND WITHOUT WARRANTY OF ANY KIND, EXPRESS OR IMPLIED, INCLUDING WITHOUT LIMITATION ANY IMPLIED WARRANTY OF MERCHANTABILITY, FITNESS FOR A PARTICULAR PURPOSE OR FUNCTIONABILITY, AND ENRON HEREBY DSICLAIMS ANY AND ALL WARRANTIES NOT EXPRESSLY SET FORTH HEREIN. WITHOUT LIMITING THE GENERALITY OF THE FOREGOING, PIPLELINE COMPANY ACCEPTS SOLE RESPONSIBILITY FOR ANY COMPATIBILITY PROBLEMS BETWEEN ANY LICENSED SOFTWARE AND ANY OTHER SOFTWARE, HARDWARE OR OTHER DEVICE. </w:t>
      </w:r>
    </w:p>
    <w:p>
      <w:pPr>
        <w:pStyle w:val="Heading1"/>
        <w:ind w:hanging="0" w:start="0"/>
        <w:rPr/>
      </w:pPr>
      <w:bookmarkStart w:id="9" w:name="__RefHeading___Toc506720738"/>
      <w:bookmarkEnd w:id="9"/>
      <w:r>
        <w:rPr>
          <w:u w:val="single"/>
        </w:rPr>
        <w:t>LIMITATION OF LIABILITY; INDEMNITY</w:t>
      </w:r>
      <w:r>
        <w:rPr/>
        <w:t>.</w:t>
      </w:r>
    </w:p>
    <w:p>
      <w:pPr>
        <w:pStyle w:val="Heading2"/>
        <w:ind w:hanging="0" w:start="0"/>
        <w:rPr/>
      </w:pPr>
      <w:r>
        <w:rPr/>
        <w:t>ENRON AND ITS DIRECTORS, OFFICERS, EMPLOYEES AND AGENTS, SHALL HAVE NO LIABILITY, CONTINGENT OR OTHERWISE, TO PIPELINE COMPANY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PIPELINE COMPANY’S ENTERING INTO THIS AGREEMENT OR USING OR RELYING ON ENRONONLINE OR ANY INFORMATION ON IT, OR AS A RESULT OF SERVIES PROVIDED BY ENRON TO PIPELINE COMPANY, EVEN IF ENRON HAS BEEN ADVISED OF THE POSSIBILITY OF SUCH DAMAGES. ANY LIMITATIONS OR RESTRICTIONS ON THE LIABILITY OF EITHER PARTY IN THIS AGREEMENT SHALL ONLY APPLY TO THE EXTENT PERMITTED BY APPLICABLE LAW.</w:t>
      </w:r>
    </w:p>
    <w:p>
      <w:pPr>
        <w:pStyle w:val="Heading2"/>
        <w:ind w:hanging="0" w:start="0"/>
        <w:rPr/>
      </w:pPr>
      <w:r>
        <w:rPr/>
        <w:t xml:space="preserve">Pipeline Company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 EnronOnline by any person obtaining access to EnronOnline through the Passwords (as defined in the Password Application), whether or not Pipeline Company has authorized such access, (ii) the Services provided by Enron to Pipeline Company, (iii) one or more links to Pipeline Company’s website to the extent that such links are included in EnronOnline or (iv) any material breach of this Agreement by Pipeline Company, provided that, in no event will Pipeline Company have any liability under this Section 10(b) for any Loss caused by the </w:t>
      </w:r>
      <w:r>
        <w:rPr>
          <w:b/>
        </w:rPr>
        <w:t>[</w:t>
      </w:r>
      <w:r>
        <w:rPr/>
        <w:t>gross</w:t>
      </w:r>
      <w:r>
        <w:rPr>
          <w:b/>
        </w:rPr>
        <w:t>]</w:t>
      </w:r>
      <w:r>
        <w:rPr/>
        <w:t xml:space="preserve"> negligence or willful misconduct of, or a breach of this Agreement by, Enron.</w:t>
      </w:r>
    </w:p>
    <w:p>
      <w:pPr>
        <w:pStyle w:val="Heading2"/>
        <w:ind w:hanging="0" w:start="0"/>
        <w:rPr/>
      </w:pPr>
      <w:r>
        <w:rPr/>
        <w:t>Enron, at its own expense, shall indemnify, defend and hold Pipeline Company harmless from and against any claim of infringement or misappropriation of any patent, trademark, trade secret, copyright or other proprietary right, with respect to the Software (a “Claim”).  Pipeline Company shall notify Enron in writing of any existing or threatened Claim promptly after Pipeline Company first learns of the existence or threat of such Claim, and Pipeline Company shall provide to Enron at no cost such assistance and cooperation as Enron may reasonably request from time to time in connection with Enron’s resolution of the Claim.  Enron shall have sole control over the resolution of any Claim (including without limitation the right to settle on behalf of Pipeline Company on any terms Enron seems desirable in its sole discretion).  Enron shall pay any damages and costs awarded against Pipeline Company (or payable by Pipeline Company or any such other party pursuant to a settlement agreement) in connection with a Claim.  If a Claim might, in the opinion of Enron’s legal counsel, be reasonably resolved by reasonable modifications to the Software and/or other items by obtaining a reasonable license or modification of license thereto, Enron shall attempt to resolve such Claim by using commercially reasonable efforts to accomplish such tasks.  If, in the opinion of Enron’s legal counsel, a Claim cannot be reasonably resolved through any of such actions, Enron may, in its own discretion, terminate this Agreement without penalty by written notice of such termination to Pipeline Company.  Notwithstanding the above, Enron shall have no obligation or liability under this Section 10(c) with respect to a Claim if such Claim is based on or is the result of use, marketing or distribution by Pipeline Company of the Software or any component thereof in breach of the license granted hereby or of accident, abuse, unauthorized repair, misapplications, modifications, combinations, merged portions or enhancements not supplied, made or expressly authorized by Enron or if such Claim could be avoided by the purchase and installation of an upgrade or new version of the Software made available by Enron.  THE FOREGOING SHALL CONSTITUTE ENRON’S SOLE AND EXCLUSIVE LIABILITY HEREUNDER, IF ANY, FOR INTELLECTUAL PROPERTY INFRINGEMENT.</w:t>
      </w:r>
    </w:p>
    <w:p>
      <w:pPr>
        <w:pStyle w:val="Heading2"/>
        <w:ind w:hanging="0" w:start="0"/>
        <w:rPr/>
      </w:pPr>
      <w:r>
        <w:rPr/>
        <w:t xml:space="preserve">Nothing in this Agreement shall have the effect of limiting or restricting either party's liability arising as a result of fraud. </w:t>
      </w:r>
    </w:p>
    <w:p>
      <w:pPr>
        <w:pStyle w:val="Heading1"/>
        <w:ind w:hanging="0" w:start="0"/>
        <w:rPr/>
      </w:pPr>
      <w:bookmarkStart w:id="10" w:name="__RefHeading___Toc506720739"/>
      <w:r>
        <w:rPr>
          <w:u w:val="single"/>
        </w:rPr>
        <w:t>CONFIDENTIALITY</w:t>
      </w:r>
      <w:r>
        <w:rPr>
          <w:b w:val="false"/>
        </w:rPr>
        <w:t>.</w:t>
      </w:r>
      <w:bookmarkEnd w:id="10"/>
      <w:r>
        <w:rPr/>
        <w:t xml:space="preserve">  </w:t>
      </w:r>
    </w:p>
    <w:p>
      <w:pPr>
        <w:pStyle w:val="Heading2"/>
        <w:ind w:hanging="0" w:start="0"/>
        <w:rPr/>
      </w:pPr>
      <w:r>
        <w:rPr/>
        <w:t>Subject to the exceptions provided in Section 11(b),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Pipeline Company) any of the contents of this Agreement, EnronOnline or the Services provided to Pipeline Company by Enron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Heading2"/>
        <w:ind w:hanging="0" w:start="0"/>
        <w:rPr/>
      </w:pPr>
      <w:r>
        <w:rPr/>
        <w:t>The provisions of Section 11(a)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Heading2"/>
        <w:ind w:hanging="0" w:start="0"/>
        <w:rPr/>
      </w:pPr>
      <w:r>
        <w:rPr/>
        <w:t>Before a party discloses any Confidential Information in any of the circumstances described in Section 11(b), it shall notify the other party of its intention to make such disclosure and, if the other party so requests (except in connection with disclosures made pursuant to Section 11(b)(ii)), obtain from the person to whom the disclosure is to be made a confidentiality agreement incorporating the terms of this Section 11 (but excluding Section 11(b)(iii)).</w:t>
      </w:r>
    </w:p>
    <w:p>
      <w:pPr>
        <w:pStyle w:val="Heading1"/>
        <w:ind w:hanging="0" w:start="0"/>
        <w:rPr/>
      </w:pPr>
      <w:bookmarkStart w:id="11" w:name="__RefHeading___Toc506720740"/>
      <w:bookmarkEnd w:id="11"/>
      <w:r>
        <w:rPr>
          <w:u w:val="single"/>
        </w:rPr>
        <w:t>NOTICES</w:t>
      </w:r>
      <w:r>
        <w:rPr>
          <w:b w:val="false"/>
        </w:rPr>
        <w:t>.</w:t>
      </w:r>
    </w:p>
    <w:p>
      <w:pPr>
        <w:pStyle w:val="BodyTextIndent"/>
        <w:rPr/>
      </w:pPr>
      <w:r>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12(ii) of this Agreement shall be deemed to have been received immediately upon transmission of the electronic mail message.</w:t>
      </w:r>
    </w:p>
    <w:p>
      <w:pPr>
        <w:pStyle w:val="Heading1"/>
        <w:ind w:hanging="0" w:start="0"/>
        <w:rPr/>
      </w:pPr>
      <w:bookmarkStart w:id="12" w:name="__RefHeading___Toc506720741"/>
      <w:bookmarkEnd w:id="12"/>
      <w:r>
        <w:rPr>
          <w:u w:val="single"/>
        </w:rPr>
        <w:t>NO THIRD PARTY BENEFICIARY</w:t>
      </w:r>
      <w:r>
        <w:rPr>
          <w:b w:val="false"/>
        </w:rPr>
        <w:t>.</w:t>
      </w:r>
    </w:p>
    <w:p>
      <w:pPr>
        <w:pStyle w:val="BodyTextIndent"/>
        <w:rPr/>
      </w:pPr>
      <w:r>
        <w:rPr/>
        <w:t>Nothing in this Agreement shall be considered or construed as conferring any right or benefit on a person not a party to this Agreement (other than the right of a Counterparty to a Transaction under Section 7(a)) or imposing any obligations on Enron or Pipeline Company to persons not a party to this Agreement.</w:t>
      </w:r>
    </w:p>
    <w:p>
      <w:pPr>
        <w:pStyle w:val="Heading1"/>
        <w:ind w:hanging="0" w:start="0"/>
        <w:rPr/>
      </w:pPr>
      <w:bookmarkStart w:id="13" w:name="__RefHeading___Toc506720742"/>
      <w:bookmarkEnd w:id="13"/>
      <w:r>
        <w:rPr>
          <w:u w:val="single"/>
        </w:rPr>
        <w:t>FORCE MAJEURE</w:t>
      </w:r>
      <w:r>
        <w:rPr>
          <w:b w:val="false"/>
        </w:rPr>
        <w:t>.</w:t>
      </w:r>
    </w:p>
    <w:p>
      <w:pPr>
        <w:pStyle w:val="BodyTextIndent"/>
        <w:rPr/>
      </w:pPr>
      <w:r>
        <w:rPr/>
        <w:t>Neither Enron nor Pipeline Company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ind w:hanging="0" w:start="0"/>
        <w:rPr/>
      </w:pPr>
      <w:bookmarkStart w:id="14" w:name="__RefHeading___Toc506720743"/>
      <w:bookmarkEnd w:id="14"/>
      <w:r>
        <w:rPr>
          <w:u w:val="single"/>
        </w:rPr>
        <w:t>WAIVER</w:t>
      </w:r>
      <w:r>
        <w:rPr>
          <w:b w:val="false"/>
        </w:rPr>
        <w:t>.</w:t>
      </w:r>
    </w:p>
    <w:p>
      <w:pPr>
        <w:pStyle w:val="Heading2"/>
        <w:ind w:hanging="0" w:start="0"/>
        <w:rPr/>
      </w:pPr>
      <w:r>
        <w:rPr/>
        <w:t>No waiver by either party of any default by the other in the performance of any provisions of this Agreement shall operate as a waiver of any continuing or future default, whether of a like or different character.</w:t>
      </w:r>
    </w:p>
    <w:p>
      <w:pPr>
        <w:pStyle w:val="Heading2"/>
        <w:ind w:hanging="0" w:start="0"/>
        <w:rPr/>
      </w:pPr>
      <w:r>
        <w:rPr/>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ind w:hanging="0" w:start="0"/>
        <w:rPr/>
      </w:pPr>
      <w:bookmarkStart w:id="15" w:name="__RefHeading___Toc506720744"/>
      <w:bookmarkEnd w:id="15"/>
      <w:r>
        <w:rPr>
          <w:u w:val="single"/>
        </w:rPr>
        <w:t>ASSIGNMENT</w:t>
      </w:r>
      <w:r>
        <w:rPr>
          <w:b w:val="false"/>
        </w:rPr>
        <w:t>.</w:t>
      </w:r>
    </w:p>
    <w:p>
      <w:pPr>
        <w:pStyle w:val="BodyTextIndent"/>
        <w:rPr/>
      </w:pPr>
      <w:r>
        <w:rPr/>
        <w:t xml:space="preserve">This Agreement may not be assigned by either party without the other party's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in the case of any such assignment by Pipeline Company,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Heading1"/>
        <w:ind w:hanging="0" w:start="0"/>
        <w:rPr/>
      </w:pPr>
      <w:bookmarkStart w:id="16" w:name="__RefHeading___Toc506720745"/>
      <w:bookmarkEnd w:id="16"/>
      <w:r>
        <w:rPr>
          <w:u w:val="single"/>
        </w:rPr>
        <w:t>INTEGRATED AGREEMENT</w:t>
      </w:r>
      <w:r>
        <w:rPr/>
        <w:t>.</w:t>
      </w:r>
    </w:p>
    <w:p>
      <w:pPr>
        <w:pStyle w:val="BodyTextIndent"/>
        <w:rPr/>
      </w:pPr>
      <w:r>
        <w:rPr>
          <w:u w:val="single"/>
        </w:rPr>
        <w:t>Schedule A</w:t>
      </w:r>
      <w:r>
        <w:rPr/>
        <w:t xml:space="preserve"> and </w:t>
      </w:r>
      <w:r>
        <w:rPr>
          <w:u w:val="single"/>
        </w:rPr>
        <w:t>Schedule B</w:t>
      </w:r>
      <w:r>
        <w:rPr/>
        <w:t xml:space="preserve"> attached hereto and specifically referenced herein, as may be revised, modified or supplemented from time to time in accordance with the provisions hereof, is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ind w:hanging="0" w:start="0"/>
        <w:rPr/>
      </w:pPr>
      <w:bookmarkStart w:id="17" w:name="__RefHeading___Toc506720746"/>
      <w:bookmarkEnd w:id="17"/>
      <w:r>
        <w:rPr>
          <w:u w:val="single"/>
        </w:rPr>
        <w:t>AMENDMENTS</w:t>
      </w:r>
      <w:r>
        <w:rPr>
          <w:b w:val="false"/>
        </w:rPr>
        <w:t>.</w:t>
      </w:r>
    </w:p>
    <w:p>
      <w:pPr>
        <w:pStyle w:val="BodyTextIndent"/>
        <w:rPr/>
      </w:pPr>
      <w:r>
        <w:rPr/>
        <w:t>This Agreement may not be amended or supplemented, nor any of the provisions hereof waived, except by an agreement in writing signed by the parties.</w:t>
      </w:r>
    </w:p>
    <w:p>
      <w:pPr>
        <w:pStyle w:val="Heading1"/>
        <w:ind w:hanging="0" w:start="0"/>
        <w:rPr/>
      </w:pPr>
      <w:bookmarkStart w:id="18" w:name="__RefHeading___Toc506720747"/>
      <w:bookmarkEnd w:id="18"/>
      <w:r>
        <w:rPr>
          <w:u w:val="single"/>
        </w:rPr>
        <w:t>FURTHER</w:t>
      </w:r>
      <w:r>
        <w:rPr>
          <w:b w:val="false"/>
          <w:u w:val="single"/>
        </w:rPr>
        <w:t xml:space="preserve"> </w:t>
      </w:r>
      <w:r>
        <w:rPr>
          <w:u w:val="single"/>
        </w:rPr>
        <w:t>ASSURANCES</w:t>
      </w:r>
      <w:r>
        <w:rPr>
          <w:b w:val="false"/>
        </w:rPr>
        <w:t>.</w:t>
      </w:r>
    </w:p>
    <w:p>
      <w:pPr>
        <w:pStyle w:val="BodyTextIndent"/>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ind w:hanging="0" w:start="0"/>
        <w:rPr/>
      </w:pPr>
      <w:bookmarkStart w:id="19" w:name="__RefHeading___Toc506720748"/>
      <w:bookmarkEnd w:id="19"/>
      <w:r>
        <w:rPr>
          <w:u w:val="single"/>
        </w:rPr>
        <w:t>GOVERNING LAW; ARBITRATION</w:t>
      </w:r>
      <w:r>
        <w:rPr>
          <w:b w:val="false"/>
        </w:rPr>
        <w:t>.</w:t>
      </w:r>
    </w:p>
    <w:p>
      <w:pPr>
        <w:pStyle w:val="BodyTextIndent"/>
        <w:rPr/>
      </w:pPr>
      <w:r>
        <w:rPr/>
        <w:t>This Agreement is deemed entered into in New York, New York and shall be governed and construed in all respects by the laws of the State of New York, without giving effect to principles of conflict of law.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w:t>
        <w:softHyphen/>
        <w:t xml:space="preserve">ings in addition to any other rights and remedies which may be available to such other party at law or in equity, and each party hereby consents to the jurisdiction of any federal or state courts located in New York, New York with respect to any such action.  The parties expressly waive their right to trial by jury in any such action.   </w:t>
      </w:r>
    </w:p>
    <w:p>
      <w:pPr>
        <w:pStyle w:val="Heading1"/>
        <w:ind w:hanging="0" w:start="0"/>
        <w:rPr/>
      </w:pPr>
      <w:bookmarkStart w:id="20" w:name="__RefHeading___Toc506720749"/>
      <w:bookmarkEnd w:id="20"/>
      <w:r>
        <w:rPr>
          <w:u w:val="single"/>
        </w:rPr>
        <w:t>HEADINGS</w:t>
      </w:r>
      <w:r>
        <w:rPr>
          <w:b w:val="false"/>
        </w:rPr>
        <w:t>.</w:t>
      </w:r>
    </w:p>
    <w:p>
      <w:pPr>
        <w:pStyle w:val="BodyTextIndent"/>
        <w:rPr/>
      </w:pPr>
      <w:r>
        <w:rPr/>
        <w:t>The headings in this Agreement are intended for convenience of reference and shall not affect its interpreta</w:t>
        <w:softHyphen/>
        <w:t>tion.</w:t>
      </w:r>
    </w:p>
    <w:p>
      <w:pPr>
        <w:pStyle w:val="Heading1"/>
        <w:ind w:hanging="0" w:start="0"/>
        <w:rPr/>
      </w:pPr>
      <w:bookmarkStart w:id="21" w:name="__RefHeading___Toc506720750"/>
      <w:bookmarkEnd w:id="21"/>
      <w:r>
        <w:rPr>
          <w:u w:val="single"/>
        </w:rPr>
        <w:t>SEVERABILITY</w:t>
      </w:r>
      <w:r>
        <w:rPr>
          <w:b w:val="false"/>
        </w:rPr>
        <w:t>.</w:t>
      </w:r>
    </w:p>
    <w:p>
      <w:pPr>
        <w:pStyle w:val="BodyTextIndent"/>
        <w:rPr/>
      </w:pPr>
      <w:r>
        <w:rPr/>
        <w:t>If any provision of this Agreement (or any portion thereof) shall be invalid, illegal or unenforceable, the validity, legality or enforce</w:t>
        <w:softHyphen/>
        <w:t>ability of the remainder of this Agreement shall not in any way be affected or impaired thereby.</w:t>
      </w:r>
      <w:r>
        <w:br w:type="page"/>
      </w:r>
    </w:p>
    <w:p>
      <w:pPr>
        <w:pStyle w:val="Heading1"/>
        <w:ind w:hanging="0" w:start="0"/>
        <w:rPr/>
      </w:pPr>
      <w:bookmarkStart w:id="22" w:name="__RefHeading___Toc506720751"/>
      <w:bookmarkEnd w:id="22"/>
      <w:r>
        <w:rPr>
          <w:u w:val="single"/>
        </w:rPr>
        <w:t>COUNTERPARTS</w:t>
      </w:r>
      <w:r>
        <w:rPr>
          <w:b w:val="false"/>
        </w:rPr>
        <w:t>.</w:t>
      </w:r>
    </w:p>
    <w:p>
      <w:pPr>
        <w:pStyle w:val="BodyTextIndent"/>
        <w:rPr/>
      </w:pPr>
      <w:r>
        <w:rPr/>
        <w:t>This Agreement may be executed in multiple counterparts, each of which shall be deemed an original, but all of which together shall constitute one agreement binding on the parties hereto.</w:t>
      </w:r>
    </w:p>
    <w:p>
      <w:pPr>
        <w:pStyle w:val="BodyText5LA"/>
        <w:rPr/>
      </w:pPr>
      <w:r>
        <w:rPr>
          <w:b/>
        </w:rPr>
        <w:t>IN WITNESS WHEREOF</w:t>
      </w:r>
      <w:r>
        <w:rPr/>
        <w:t>, the parties have caused this Agreement to be duly executed as of the day and year first above written.</w:t>
      </w:r>
    </w:p>
    <w:p>
      <w:pPr>
        <w:pStyle w:val="BodyText"/>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snapToGrid w:val="false"/>
              <w:rPr/>
            </w:pPr>
            <w:r>
              <w:rPr/>
            </w:r>
          </w:p>
        </w:tc>
        <w:tc>
          <w:tcPr>
            <w:tcW w:w="4518" w:type="dxa"/>
            <w:tcBorders/>
          </w:tcPr>
          <w:p>
            <w:pPr>
              <w:pStyle w:val="Normal"/>
              <w:rPr/>
            </w:pPr>
            <w:r>
              <w:rPr/>
              <w:t>Pipeline Company:</w:t>
            </w:r>
          </w:p>
        </w:tc>
      </w:tr>
      <w:tr>
        <w:trPr/>
        <w:tc>
          <w:tcPr>
            <w:tcW w:w="5040" w:type="dxa"/>
            <w:tcBorders/>
          </w:tcPr>
          <w:p>
            <w:pPr>
              <w:pStyle w:val="BodyTextLA"/>
              <w:spacing w:before="0" w:after="0"/>
              <w:rPr/>
            </w:pPr>
            <w:r>
              <w:rPr/>
              <w:br/>
            </w:r>
            <w:r>
              <w:rPr>
                <w:b/>
              </w:rPr>
              <w:t>[</w:t>
            </w:r>
            <w:r>
              <w:rPr/>
              <w:t>Enron Corp.</w:t>
            </w:r>
            <w:r>
              <w:rPr>
                <w:b/>
              </w:rPr>
              <w:t>]</w:t>
            </w:r>
          </w:p>
        </w:tc>
        <w:tc>
          <w:tcPr>
            <w:tcW w:w="4518" w:type="dxa"/>
            <w:tcBorders/>
          </w:tcPr>
          <w:p>
            <w:pPr>
              <w:pStyle w:val="Normal"/>
              <w:spacing w:before="0" w:after="120"/>
              <w:rPr>
                <w:b/>
                <w:u w:val="single"/>
              </w:rPr>
            </w:pPr>
            <w:r>
              <w:rPr>
                <w:b/>
                <w:u w:val="single"/>
              </w:rPr>
              <w:br/>
              <w:tab/>
              <w:tab/>
              <w:tab/>
              <w:tab/>
              <w:tab/>
            </w:r>
          </w:p>
        </w:tc>
      </w:tr>
      <w:tr>
        <w:trPr/>
        <w:tc>
          <w:tcPr>
            <w:tcW w:w="5040" w:type="dxa"/>
            <w:tcBorders/>
          </w:tcPr>
          <w:p>
            <w:pPr>
              <w:pStyle w:val="Normal"/>
              <w:rPr>
                <w:b/>
              </w:rPr>
            </w:pPr>
            <w:r>
              <w:rPr>
                <w:b/>
              </w:rPr>
              <w:t>[Address]</w:t>
            </w:r>
          </w:p>
        </w:tc>
        <w:tc>
          <w:tcPr>
            <w:tcW w:w="4518" w:type="dxa"/>
            <w:tcBorders/>
          </w:tcPr>
          <w:p>
            <w:pPr>
              <w:pStyle w:val="Normal"/>
              <w:spacing w:before="0" w:after="120"/>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rPr>
                <w:b/>
              </w:rPr>
            </w:pPr>
            <w:r>
              <w:rPr/>
              <w:t xml:space="preserve">By: </w:t>
            </w:r>
            <w:r>
              <w:rPr>
                <w:u w:val="single"/>
              </w:rPr>
              <w:tab/>
              <w:tab/>
              <w:tab/>
              <w:tab/>
              <w:tab/>
            </w:r>
          </w:p>
        </w:tc>
        <w:tc>
          <w:tcPr>
            <w:tcW w:w="4518" w:type="dxa"/>
            <w:tcBorders/>
          </w:tcPr>
          <w:p>
            <w:pPr>
              <w:pStyle w:val="Normal"/>
              <w:spacing w:before="0" w:after="120"/>
              <w:rPr>
                <w:b/>
                <w:u w:val="single"/>
              </w:rPr>
            </w:pPr>
            <w:r>
              <w:rPr/>
              <w:t xml:space="preserve">By: </w:t>
            </w:r>
            <w:r>
              <w:rPr>
                <w:u w:val="single"/>
              </w:rPr>
              <w:tab/>
              <w:tab/>
              <w:tab/>
              <w:tab/>
              <w:tab/>
            </w:r>
          </w:p>
        </w:tc>
      </w:tr>
      <w:tr>
        <w:trPr/>
        <w:tc>
          <w:tcPr>
            <w:tcW w:w="5040" w:type="dxa"/>
            <w:tcBorders/>
          </w:tcPr>
          <w:p>
            <w:pPr>
              <w:pStyle w:val="Normal"/>
              <w:rPr>
                <w:b/>
              </w:rPr>
            </w:pPr>
            <w:r>
              <w:rPr/>
              <w:t xml:space="preserve">Name: </w:t>
            </w:r>
            <w:r>
              <w:rPr>
                <w:u w:val="single"/>
              </w:rPr>
              <w:tab/>
              <w:tab/>
              <w:tab/>
              <w:tab/>
              <w:tab/>
            </w:r>
          </w:p>
        </w:tc>
        <w:tc>
          <w:tcPr>
            <w:tcW w:w="4518" w:type="dxa"/>
            <w:tcBorders/>
          </w:tcPr>
          <w:p>
            <w:pPr>
              <w:pStyle w:val="Normal"/>
              <w:spacing w:before="0" w:after="120"/>
              <w:rPr/>
            </w:pPr>
            <w:r>
              <w:rPr/>
              <w:t xml:space="preserve">Name: </w:t>
            </w:r>
            <w:r>
              <w:rPr>
                <w:u w:val="single"/>
              </w:rPr>
              <w:tab/>
              <w:tab/>
              <w:tab/>
              <w:tab/>
              <w:tab/>
            </w:r>
          </w:p>
        </w:tc>
      </w:tr>
      <w:tr>
        <w:trPr/>
        <w:tc>
          <w:tcPr>
            <w:tcW w:w="5040" w:type="dxa"/>
            <w:tcBorders/>
          </w:tcPr>
          <w:p>
            <w:pPr>
              <w:pStyle w:val="Normal"/>
              <w:rPr>
                <w:b/>
              </w:rPr>
            </w:pPr>
            <w:r>
              <w:rPr/>
              <w:t xml:space="preserve">Title: </w:t>
            </w:r>
            <w:r>
              <w:rPr>
                <w:u w:val="single"/>
              </w:rPr>
              <w:tab/>
              <w:tab/>
              <w:tab/>
              <w:tab/>
              <w:tab/>
            </w:r>
          </w:p>
        </w:tc>
        <w:tc>
          <w:tcPr>
            <w:tcW w:w="4518" w:type="dxa"/>
            <w:tcBorders/>
          </w:tcPr>
          <w:p>
            <w:pPr>
              <w:pStyle w:val="Normal"/>
              <w:spacing w:before="0" w:after="120"/>
              <w:rPr/>
            </w:pPr>
            <w:r>
              <w:rPr/>
              <w:t xml:space="preserve">Title: </w:t>
            </w: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pacing w:before="0" w:after="120"/>
              <w:rPr/>
            </w:pPr>
            <w:r>
              <w:rPr/>
              <w:t>Pipeline Company’s Administrator (and contact information):</w:t>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bl>
    <w:p>
      <w:pPr>
        <w:sectPr>
          <w:headerReference w:type="default" r:id="rId11"/>
          <w:headerReference w:type="first" r:id="rId12"/>
          <w:footerReference w:type="default" r:id="rId13"/>
          <w:footerReference w:type="first" r:id="rId14"/>
          <w:type w:val="nextPage"/>
          <w:pgSz w:w="12240" w:h="15840"/>
          <w:pgMar w:left="1440" w:right="1440" w:gutter="0" w:header="1152" w:top="1800" w:footer="720" w:bottom="1440"/>
          <w:pgNumType w:start="1" w:fmt="decimal"/>
          <w:formProt w:val="false"/>
          <w:titlePg/>
          <w:textDirection w:val="lrTb"/>
          <w:docGrid w:type="default" w:linePitch="360" w:charSpace="0"/>
        </w:sectPr>
      </w:pPr>
    </w:p>
    <w:p>
      <w:pPr>
        <w:pStyle w:val="TitleB"/>
        <w:rPr/>
      </w:pPr>
      <w:r>
        <w:rPr/>
        <w:t>schedule a – fees and expenses</w:t>
      </w:r>
    </w:p>
    <w:p>
      <w:pPr>
        <w:pStyle w:val="BodyText5LA"/>
        <w:rPr/>
      </w:pPr>
      <w:r>
        <w:rPr/>
        <w:t>The Fees and Expenses for the Services, as provided for in Section 4 , are comprised of the following components:</w:t>
      </w:r>
    </w:p>
    <w:p>
      <w:pPr>
        <w:pStyle w:val="SchedAHeading2"/>
        <w:numPr>
          <w:ilvl w:val="1"/>
          <w:numId w:val="12"/>
        </w:numPr>
        <w:ind w:firstLine="720" w:start="0"/>
        <w:rPr/>
      </w:pPr>
      <w:r>
        <w:rPr/>
        <w:tab/>
      </w:r>
      <w:r>
        <w:rPr>
          <w:u w:val="single"/>
        </w:rPr>
        <w:t>INITIAL SETUP</w:t>
      </w:r>
      <w:r>
        <w:rPr/>
        <w:t>.</w:t>
      </w:r>
    </w:p>
    <w:p>
      <w:pPr>
        <w:pStyle w:val="BodyTextIndent5"/>
        <w:rPr/>
      </w:pPr>
      <w:r>
        <w:rPr/>
        <w:t xml:space="preserve">In consideration of the Initial Services to be provided by Enron to Pipeline Company, Pipeline Company will pay to Enron US$ 500,000,00, payable upon the effective date of this Agreement, </w:t>
      </w:r>
      <w:r>
        <w:rPr>
          <w:u w:val="single"/>
        </w:rPr>
        <w:t>provided</w:t>
      </w:r>
      <w:r>
        <w:rPr/>
        <w:t xml:space="preserve"> </w:t>
      </w:r>
      <w:r>
        <w:rPr>
          <w:u w:val="single"/>
        </w:rPr>
        <w:t>that</w:t>
      </w:r>
      <w:r>
        <w:rPr/>
        <w:t>, if such date is not a Business Day, then such payment will be made on the next succeeding Business Day.</w:t>
      </w:r>
    </w:p>
    <w:p>
      <w:pPr>
        <w:pStyle w:val="SchedBHeading2"/>
        <w:numPr>
          <w:ilvl w:val="0"/>
          <w:numId w:val="0"/>
        </w:numPr>
        <w:ind w:hanging="720" w:start="720" w:end="0"/>
        <w:rPr>
          <w:b w:val="false"/>
        </w:rPr>
      </w:pPr>
      <w:r>
        <w:rPr/>
        <w:t>B.</w:t>
        <w:tab/>
      </w:r>
      <w:r>
        <w:rPr>
          <w:u w:val="single"/>
        </w:rPr>
        <w:t>SUPPLEMENTAL SETUP</w:t>
      </w:r>
      <w:r>
        <w:rPr/>
        <w:t>.</w:t>
      </w:r>
    </w:p>
    <w:p>
      <w:pPr>
        <w:pStyle w:val="BodyTextIndent5"/>
        <w:rPr/>
      </w:pPr>
      <w:r>
        <w:rPr/>
        <w:t xml:space="preserve">In consideration of each additional Supplemental Setup which is requested by Pipeline Company and to be provided by Enron to Pipeline Company, Pipeline Company will pay to Enron US$ 40,000,00, payable upon the effective date of a Supplemental Setup Agreement, </w:t>
      </w:r>
      <w:r>
        <w:rPr>
          <w:u w:val="single"/>
        </w:rPr>
        <w:t>provided</w:t>
      </w:r>
      <w:r>
        <w:rPr/>
        <w:t xml:space="preserve"> </w:t>
      </w:r>
      <w:r>
        <w:rPr>
          <w:u w:val="single"/>
        </w:rPr>
        <w:t>that</w:t>
      </w:r>
      <w:r>
        <w:rPr/>
        <w:t>, if such date is not a Business Day, then such payment will be made on the next succeeding Business Day.</w:t>
      </w:r>
    </w:p>
    <w:p>
      <w:pPr>
        <w:pStyle w:val="SchedBHeading2"/>
        <w:numPr>
          <w:ilvl w:val="0"/>
          <w:numId w:val="0"/>
        </w:numPr>
        <w:ind w:hanging="720" w:start="720" w:end="0"/>
        <w:rPr>
          <w:b w:val="false"/>
        </w:rPr>
      </w:pPr>
      <w:r>
        <w:rPr/>
        <w:t>C.</w:t>
        <w:tab/>
      </w:r>
      <w:r>
        <w:rPr>
          <w:u w:val="single"/>
        </w:rPr>
        <w:t>BRIDGE SETUP</w:t>
      </w:r>
      <w:r>
        <w:rPr/>
        <w:t>.</w:t>
      </w:r>
    </w:p>
    <w:p>
      <w:pPr>
        <w:pStyle w:val="BodyTextIndent5"/>
        <w:rPr/>
      </w:pPr>
      <w:r>
        <w:rPr/>
        <w:t xml:space="preserve">In consideration of a Bridge Setup, Pipeline Company will pay to Enron US$ 40,000,00, payable upon [the effective date of this Agreement,] </w:t>
      </w:r>
      <w:r>
        <w:rPr>
          <w:u w:val="single"/>
        </w:rPr>
        <w:t>provided</w:t>
      </w:r>
      <w:r>
        <w:rPr/>
        <w:t xml:space="preserve"> </w:t>
      </w:r>
      <w:r>
        <w:rPr>
          <w:u w:val="single"/>
        </w:rPr>
        <w:t>that</w:t>
      </w:r>
      <w:r>
        <w:rPr/>
        <w:t>, if such date is not a Business Day, then such payment will be made on the next succeeding Business Day.</w:t>
      </w:r>
    </w:p>
    <w:p>
      <w:pPr>
        <w:pStyle w:val="SchedBHeading2"/>
        <w:numPr>
          <w:ilvl w:val="0"/>
          <w:numId w:val="0"/>
        </w:numPr>
        <w:ind w:hanging="720" w:start="720" w:end="0"/>
        <w:rPr>
          <w:b w:val="false"/>
        </w:rPr>
      </w:pPr>
      <w:r>
        <w:rPr/>
        <w:t>D.</w:t>
        <w:tab/>
      </w:r>
      <w:r>
        <w:rPr>
          <w:u w:val="single"/>
        </w:rPr>
        <w:t>BASIC MAINTENANCE</w:t>
      </w:r>
      <w:r>
        <w:rPr/>
        <w:t>.</w:t>
      </w:r>
    </w:p>
    <w:p>
      <w:pPr>
        <w:pStyle w:val="BodyTextIndent5"/>
        <w:rPr/>
      </w:pPr>
      <w:r>
        <w:rPr/>
        <w:t xml:space="preserve">In consideration of Enron’s provision of the Basic Maintenance, Pipeline Company will pay to Enron US$ 200,000,00, payable annually beginning on the day on which the first Product provided by Pipeline Company is displayed on EnronOnline,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SchedBHeading2"/>
        <w:numPr>
          <w:ilvl w:val="0"/>
          <w:numId w:val="0"/>
        </w:numPr>
        <w:ind w:hanging="720" w:start="720" w:end="0"/>
        <w:rPr>
          <w:b w:val="false"/>
        </w:rPr>
      </w:pPr>
      <w:r>
        <w:rPr/>
        <w:t>E.</w:t>
        <w:tab/>
      </w:r>
      <w:r>
        <w:rPr>
          <w:u w:val="single"/>
        </w:rPr>
        <w:t>SUPPLEMENTAL MAINTENANCE</w:t>
      </w:r>
      <w:r>
        <w:rPr/>
        <w:t>.</w:t>
      </w:r>
    </w:p>
    <w:p>
      <w:pPr>
        <w:pStyle w:val="BodyTextIndent5"/>
        <w:rPr/>
      </w:pPr>
      <w:r>
        <w:rPr/>
        <w:t xml:space="preserve">In consideration of Enron’s provision of Supplemental Maintenance, Pipeline Company will pay to Enron US$ 40,000,00, payable annually beginning on the day on which the first Product provided by Pipeline Company is displayed on EnronOnline,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SchedBHeading2"/>
        <w:numPr>
          <w:ilvl w:val="0"/>
          <w:numId w:val="0"/>
        </w:numPr>
        <w:ind w:hanging="0" w:start="0"/>
        <w:rPr/>
      </w:pPr>
      <w:r>
        <w:rPr/>
        <w:t>F.</w:t>
        <w:tab/>
      </w:r>
      <w:r>
        <w:rPr>
          <w:u w:val="single"/>
        </w:rPr>
        <w:t>TRANSACTION CHARGE</w:t>
      </w:r>
      <w:r>
        <w:rPr/>
        <w:t>.</w:t>
      </w:r>
    </w:p>
    <w:p>
      <w:pPr>
        <w:pStyle w:val="BodyTextIndent5"/>
        <w:rPr/>
      </w:pPr>
      <w:r>
        <w:rPr/>
        <w:t>In consideration of each Transaction which Pipeline Company executes through EnronOnline, Pipeline Company will pay to Enron US$ 40,00, payable monthly in arrears on the [fifth Business Day] following the date on which Enron issues an invoice to Pipeline Company with respect to the preceding month.</w:t>
      </w:r>
    </w:p>
    <w:p>
      <w:pPr>
        <w:pStyle w:val="SchedAHeading2"/>
        <w:numPr>
          <w:ilvl w:val="1"/>
          <w:numId w:val="11"/>
        </w:numPr>
        <w:rPr/>
      </w:pPr>
      <w:r>
        <w:rPr/>
        <w:tab/>
      </w:r>
      <w:r>
        <w:rPr>
          <w:u w:val="single"/>
        </w:rPr>
        <w:t>INCREMENTAL USER ID</w:t>
      </w:r>
      <w:r>
        <w:rPr/>
        <w:t>.</w:t>
      </w:r>
    </w:p>
    <w:p>
      <w:pPr>
        <w:pStyle w:val="BodyTextIndent5"/>
        <w:rPr/>
      </w:pPr>
      <w:r>
        <w:rPr/>
        <w:t xml:space="preserve">In consideration of each additional user ID which Pipeline Company requests Enron to provide, Pipeline Company will pay to Enron US$ 3,500,00, payable annually and due on the same day as the fee for Basic Maintenance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SchedAHeading2"/>
        <w:numPr>
          <w:ilvl w:val="1"/>
          <w:numId w:val="11"/>
        </w:numPr>
        <w:rPr/>
      </w:pPr>
      <w:r>
        <w:rPr/>
        <w:tab/>
      </w:r>
      <w:r>
        <w:rPr>
          <w:u w:val="single"/>
        </w:rPr>
        <w:t>INVOICING</w:t>
      </w:r>
      <w:r>
        <w:rPr/>
        <w:t>.</w:t>
      </w:r>
    </w:p>
    <w:p>
      <w:pPr>
        <w:sectPr>
          <w:headerReference w:type="default" r:id="rId15"/>
          <w:headerReference w:type="first" r:id="rId16"/>
          <w:footerReference w:type="default" r:id="rId17"/>
          <w:footerReference w:type="first" r:id="rId18"/>
          <w:type w:val="nextPage"/>
          <w:pgSz w:w="12240" w:h="15840"/>
          <w:pgMar w:left="1440" w:right="1440" w:gutter="0" w:header="1152" w:top="1800" w:footer="720" w:bottom="1440"/>
          <w:pgNumType w:start="1" w:fmt="decimal"/>
          <w:formProt w:val="false"/>
          <w:textDirection w:val="lrTb"/>
          <w:docGrid w:type="default" w:linePitch="360" w:charSpace="0"/>
        </w:sectPr>
        <w:pStyle w:val="BodyTextIndent5"/>
        <w:rPr/>
      </w:pPr>
      <w:r>
        <w:rPr/>
        <w:t>Enron will forward to Pipeline Company a monthly invoice specifying all Transaction Charges, and any amounts required to be paid by Pipeline Company hereunder, that remain unpaid as of the date of such invoice.  A failure by Pipeline Company to pay all such amounts with [five Business Days] of the date of such invoice shall constitute a material breach of this Agreement.</w:t>
      </w:r>
    </w:p>
    <w:p>
      <w:pPr>
        <w:pStyle w:val="TitleB"/>
        <w:rPr/>
      </w:pPr>
      <w:r>
        <w:rPr/>
        <w:t>schedule b</w:t>
        <w:br/>
        <w:t>part I:  support Services program</w:t>
      </w:r>
    </w:p>
    <w:p>
      <w:pPr>
        <w:pStyle w:val="TitleB"/>
        <w:rPr/>
      </w:pPr>
      <w:r>
        <w:rPr/>
        <w:t>description of enron support service programs</w:t>
      </w:r>
    </w:p>
    <w:p>
      <w:pPr>
        <w:pStyle w:val="Normal"/>
        <w:numPr>
          <w:ilvl w:val="0"/>
          <w:numId w:val="0"/>
        </w:numPr>
        <w:tabs>
          <w:tab w:val="clear" w:pos="720"/>
          <w:tab w:val="left" w:pos="360" w:leader="none"/>
        </w:tabs>
        <w:ind w:end="720"/>
        <w:outlineLvl w:val="0"/>
        <w:rPr/>
      </w:pPr>
      <w:r>
        <w:rPr/>
        <w:t>1.</w:t>
        <w:tab/>
      </w:r>
      <w:r>
        <w:rPr>
          <w:u w:val="single"/>
        </w:rPr>
        <w:t>BASIC SERVICE PROGRAM</w:t>
      </w:r>
      <w:r>
        <w:rPr>
          <w:b/>
        </w:rPr>
        <w:tab/>
        <w:t>_________ (check if elected)</w:t>
      </w:r>
    </w:p>
    <w:p>
      <w:pPr>
        <w:pStyle w:val="BodyTextIndent"/>
        <w:spacing w:lineRule="auto" w:line="240" w:before="120" w:after="240"/>
        <w:rPr/>
      </w:pPr>
      <w:r>
        <w:rPr/>
        <w:t>The Basic Service Program provides:</w:t>
      </w:r>
    </w:p>
    <w:p>
      <w:pPr>
        <w:pStyle w:val="Normal"/>
        <w:numPr>
          <w:ilvl w:val="0"/>
          <w:numId w:val="5"/>
        </w:numPr>
        <w:ind w:hanging="360" w:start="360" w:end="720"/>
        <w:jc w:val="both"/>
        <w:rPr/>
      </w:pPr>
      <w:r>
        <w:rPr/>
        <w:t xml:space="preserve">Unlimited telephone and Web support for two (2) registered contacts during regular business         hours </w:t>
      </w:r>
    </w:p>
    <w:p>
      <w:pPr>
        <w:pStyle w:val="Normal"/>
        <w:numPr>
          <w:ilvl w:val="0"/>
          <w:numId w:val="6"/>
        </w:numPr>
        <w:ind w:hanging="360" w:start="360" w:end="720"/>
        <w:jc w:val="both"/>
        <w:rPr/>
      </w:pPr>
      <w:r>
        <w:rPr/>
        <w:t>Software Subscription which includes Updates, Upgrades and Patches</w:t>
      </w:r>
    </w:p>
    <w:p>
      <w:pPr>
        <w:pStyle w:val="Normal"/>
        <w:numPr>
          <w:ilvl w:val="0"/>
          <w:numId w:val="3"/>
        </w:numPr>
        <w:ind w:hanging="360" w:start="360" w:end="720"/>
        <w:jc w:val="both"/>
        <w:rPr/>
      </w:pPr>
      <w:r>
        <w:rPr/>
        <w:t>Facilities for remote diagnostics where required</w:t>
      </w:r>
    </w:p>
    <w:p>
      <w:pPr>
        <w:pStyle w:val="Normal"/>
        <w:numPr>
          <w:ilvl w:val="0"/>
          <w:numId w:val="3"/>
        </w:numPr>
        <w:ind w:hanging="360" w:start="360" w:end="720"/>
        <w:jc w:val="both"/>
        <w:rPr/>
      </w:pPr>
      <w:r>
        <w:rPr/>
        <w:t>Access to Enron’s knowledge base</w:t>
      </w:r>
    </w:p>
    <w:p>
      <w:pPr>
        <w:pStyle w:val="Normal"/>
        <w:numPr>
          <w:ilvl w:val="0"/>
          <w:numId w:val="3"/>
        </w:numPr>
        <w:ind w:hanging="360" w:start="360" w:end="720"/>
        <w:jc w:val="both"/>
        <w:rPr/>
      </w:pPr>
      <w:r>
        <w:rPr/>
        <w:t>Access to Technical Service Bulletins</w:t>
      </w:r>
    </w:p>
    <w:p>
      <w:pPr>
        <w:pStyle w:val="Normal"/>
        <w:jc w:val="both"/>
        <w:rPr/>
      </w:pPr>
      <w:r>
        <w:rPr/>
      </w:r>
    </w:p>
    <w:p>
      <w:pPr>
        <w:pStyle w:val="Normal"/>
        <w:jc w:val="both"/>
        <w:rPr/>
      </w:pPr>
      <w:r>
        <w:rPr/>
        <w:t>[</w:t>
      </w:r>
      <w:r>
        <w:rPr>
          <w:b/>
        </w:rPr>
        <w:t>DEFINE ADDITIONAL TERMS; E.G., TECHNICAL SERVICE BULLETINS?</w:t>
      </w:r>
      <w:r>
        <w:rPr/>
        <w:t>]</w:t>
      </w:r>
    </w:p>
    <w:p>
      <w:pPr>
        <w:pStyle w:val="Normal"/>
        <w:numPr>
          <w:ilvl w:val="0"/>
          <w:numId w:val="7"/>
        </w:numPr>
        <w:spacing w:before="240" w:after="120"/>
        <w:ind w:hanging="0" w:start="0" w:end="720"/>
        <w:jc w:val="both"/>
        <w:rPr>
          <w:b/>
        </w:rPr>
      </w:pPr>
      <w:r>
        <w:rPr>
          <w:u w:val="single"/>
        </w:rPr>
        <w:t>PREMIER SERVICE PROGRAM</w:t>
      </w:r>
      <w:r>
        <w:rPr>
          <w:b/>
        </w:rPr>
        <w:tab/>
        <w:t>___________ (check if elected)</w:t>
      </w:r>
    </w:p>
    <w:p>
      <w:pPr>
        <w:pStyle w:val="BodyTextIndent"/>
        <w:rPr/>
      </w:pPr>
      <w:r>
        <w:rPr/>
        <w:t>The Premier Service Program provides:</w:t>
      </w:r>
    </w:p>
    <w:p>
      <w:pPr>
        <w:pStyle w:val="Normal"/>
        <w:numPr>
          <w:ilvl w:val="0"/>
          <w:numId w:val="5"/>
        </w:numPr>
        <w:ind w:hanging="360" w:start="360" w:end="720"/>
        <w:jc w:val="both"/>
        <w:rPr/>
      </w:pPr>
      <w:r>
        <w:rPr/>
        <w:t>Unlimited telephone and Web support for three (3) registered contacts during regular business hours</w:t>
      </w:r>
    </w:p>
    <w:p>
      <w:pPr>
        <w:pStyle w:val="Normal"/>
        <w:numPr>
          <w:ilvl w:val="0"/>
          <w:numId w:val="5"/>
        </w:numPr>
        <w:ind w:hanging="360" w:start="360" w:end="720"/>
        <w:jc w:val="both"/>
        <w:rPr/>
      </w:pPr>
      <w:r>
        <w:rPr/>
        <w:t>After Hours seven day a week unlimited telephone support for Category 1 problems.  Enables three registered contacts access to Enron's Help Desk with sixty (60)  minute call-back target.</w:t>
      </w:r>
    </w:p>
    <w:p>
      <w:pPr>
        <w:pStyle w:val="Normal"/>
        <w:numPr>
          <w:ilvl w:val="0"/>
          <w:numId w:val="5"/>
        </w:numPr>
        <w:ind w:hanging="360" w:start="360" w:end="720"/>
        <w:jc w:val="both"/>
        <w:rPr/>
      </w:pPr>
      <w:r>
        <w:rPr/>
        <w:t>Software Subscription which includes Updates, Upgrades and Patches</w:t>
      </w:r>
    </w:p>
    <w:p>
      <w:pPr>
        <w:pStyle w:val="Normal"/>
        <w:numPr>
          <w:ilvl w:val="0"/>
          <w:numId w:val="5"/>
        </w:numPr>
        <w:ind w:hanging="360" w:start="360" w:end="720"/>
        <w:jc w:val="both"/>
        <w:rPr/>
      </w:pPr>
      <w:r>
        <w:rPr/>
        <w:t>Facilities for remote diagnostics where required</w:t>
      </w:r>
    </w:p>
    <w:p>
      <w:pPr>
        <w:pStyle w:val="Normal"/>
        <w:numPr>
          <w:ilvl w:val="0"/>
          <w:numId w:val="5"/>
        </w:numPr>
        <w:ind w:hanging="360" w:start="360" w:end="720"/>
        <w:jc w:val="both"/>
        <w:rPr/>
      </w:pPr>
      <w:r>
        <w:rPr/>
        <w:t>Access to Enron’s knowledgebase</w:t>
      </w:r>
    </w:p>
    <w:p>
      <w:pPr>
        <w:pStyle w:val="Normal"/>
        <w:numPr>
          <w:ilvl w:val="0"/>
          <w:numId w:val="5"/>
        </w:numPr>
        <w:ind w:hanging="360" w:start="360" w:end="720"/>
        <w:jc w:val="both"/>
        <w:rPr/>
      </w:pPr>
      <w:r>
        <w:rPr/>
        <w:t>Access to Technical Services Bulletins</w:t>
      </w:r>
    </w:p>
    <w:p>
      <w:pPr>
        <w:pStyle w:val="Normal"/>
        <w:ind w:end="720"/>
        <w:jc w:val="both"/>
        <w:rPr/>
      </w:pPr>
      <w:r>
        <w:rPr/>
      </w:r>
    </w:p>
    <w:p>
      <w:pPr>
        <w:pStyle w:val="TitleB"/>
        <w:rPr/>
      </w:pPr>
      <w:r>
        <w:rPr/>
        <w:t>PART II: CONTACT INFORMATION</w:t>
      </w:r>
    </w:p>
    <w:p>
      <w:pPr>
        <w:pStyle w:val="Normal"/>
        <w:spacing w:before="40" w:after="40"/>
        <w:ind w:end="720"/>
        <w:jc w:val="both"/>
        <w:rPr/>
      </w:pPr>
      <w:r>
        <w:rPr>
          <w:b/>
          <w:u w:val="single"/>
        </w:rPr>
        <w:t>Contact Person(s):</w:t>
      </w:r>
      <w:r>
        <w:rPr>
          <w:u w:val="single"/>
        </w:rPr>
        <w:t xml:space="preserve"> </w:t>
      </w:r>
      <w:r>
        <w:rPr/>
        <w:t xml:space="preserve"> </w:t>
      </w:r>
    </w:p>
    <w:p>
      <w:pPr>
        <w:pStyle w:val="Normal"/>
        <w:numPr>
          <w:ilvl w:val="0"/>
          <w:numId w:val="10"/>
        </w:numPr>
        <w:tabs>
          <w:tab w:val="clear" w:pos="720"/>
          <w:tab w:val="left" w:pos="7920" w:leader="underscore"/>
        </w:tabs>
        <w:spacing w:before="40" w:after="40"/>
        <w:ind w:hanging="720" w:start="720" w:end="720"/>
        <w:jc w:val="both"/>
        <w:rPr>
          <w:b/>
        </w:rPr>
      </w:pPr>
      <w:r>
        <w:rPr>
          <w:b/>
        </w:rPr>
        <w:t>Name:</w:t>
        <w:tab/>
      </w:r>
    </w:p>
    <w:p>
      <w:pPr>
        <w:pStyle w:val="Heading7"/>
        <w:tabs>
          <w:tab w:val="clear" w:pos="720"/>
          <w:tab w:val="left" w:pos="7920" w:leader="underscore"/>
        </w:tabs>
        <w:spacing w:before="40" w:after="40"/>
        <w:rPr>
          <w:rFonts w:ascii="Times New Roman" w:hAnsi="Times New Roman" w:cs="Times New Roman"/>
          <w:b/>
        </w:rPr>
      </w:pPr>
      <w:r>
        <w:rPr>
          <w:rFonts w:cs="Times New Roman" w:ascii="Times New Roman" w:hAnsi="Times New Roman"/>
          <w:b/>
        </w:rPr>
        <w:t>Title:</w:t>
        <w:tab/>
      </w:r>
    </w:p>
    <w:p>
      <w:pPr>
        <w:pStyle w:val="Normal"/>
        <w:tabs>
          <w:tab w:val="clear" w:pos="720"/>
          <w:tab w:val="left" w:pos="7920" w:leader="underscore"/>
        </w:tabs>
        <w:spacing w:before="40" w:after="40"/>
        <w:ind w:end="720"/>
        <w:jc w:val="both"/>
        <w:rPr>
          <w:b/>
        </w:rPr>
      </w:pPr>
      <w:r>
        <w:rPr>
          <w:b/>
        </w:rPr>
        <w:t>Telephone:</w:t>
        <w:tab/>
      </w:r>
    </w:p>
    <w:p>
      <w:pPr>
        <w:pStyle w:val="Normal"/>
        <w:tabs>
          <w:tab w:val="clear" w:pos="720"/>
          <w:tab w:val="left" w:pos="7920" w:leader="underscore"/>
        </w:tabs>
        <w:spacing w:before="40" w:after="40"/>
        <w:ind w:end="720"/>
        <w:jc w:val="both"/>
        <w:rPr>
          <w:b/>
        </w:rPr>
      </w:pPr>
      <w:r>
        <w:rPr>
          <w:b/>
        </w:rPr>
        <w:t>E-mail:</w:t>
        <w:tab/>
      </w:r>
    </w:p>
    <w:p>
      <w:pPr>
        <w:pStyle w:val="Normal"/>
        <w:numPr>
          <w:ilvl w:val="0"/>
          <w:numId w:val="10"/>
        </w:numPr>
        <w:tabs>
          <w:tab w:val="clear" w:pos="720"/>
          <w:tab w:val="left" w:pos="7920" w:leader="underscore"/>
        </w:tabs>
        <w:spacing w:before="40" w:after="40"/>
        <w:ind w:hanging="720" w:start="720" w:end="720"/>
        <w:jc w:val="both"/>
        <w:rPr>
          <w:b/>
        </w:rPr>
      </w:pPr>
      <w:r>
        <w:rPr>
          <w:b/>
        </w:rPr>
        <w:t>Name:</w:t>
        <w:tab/>
      </w:r>
    </w:p>
    <w:p>
      <w:pPr>
        <w:pStyle w:val="Normal"/>
        <w:tabs>
          <w:tab w:val="clear" w:pos="720"/>
          <w:tab w:val="left" w:pos="7920" w:leader="underscore"/>
        </w:tabs>
        <w:spacing w:before="40" w:after="40"/>
        <w:ind w:end="720"/>
        <w:jc w:val="both"/>
        <w:rPr>
          <w:b/>
        </w:rPr>
      </w:pPr>
      <w:r>
        <w:rPr>
          <w:b/>
        </w:rPr>
        <w:t>Title:</w:t>
        <w:tab/>
      </w:r>
    </w:p>
    <w:p>
      <w:pPr>
        <w:pStyle w:val="Normal"/>
        <w:tabs>
          <w:tab w:val="clear" w:pos="720"/>
          <w:tab w:val="left" w:pos="7920" w:leader="underscore"/>
        </w:tabs>
        <w:spacing w:before="40" w:after="40"/>
        <w:ind w:end="720"/>
        <w:jc w:val="both"/>
        <w:rPr>
          <w:b/>
        </w:rPr>
      </w:pPr>
      <w:r>
        <w:rPr>
          <w:b/>
        </w:rPr>
        <w:t>Telephone:</w:t>
        <w:tab/>
      </w:r>
    </w:p>
    <w:p>
      <w:pPr>
        <w:pStyle w:val="Normal"/>
        <w:tabs>
          <w:tab w:val="clear" w:pos="720"/>
          <w:tab w:val="left" w:pos="7920" w:leader="underscore"/>
        </w:tabs>
        <w:spacing w:before="40" w:after="40"/>
        <w:ind w:end="720"/>
        <w:jc w:val="both"/>
        <w:rPr>
          <w:b/>
        </w:rPr>
      </w:pPr>
      <w:r>
        <w:rPr>
          <w:b/>
        </w:rPr>
        <w:t>E-mail:</w:t>
        <w:tab/>
      </w:r>
    </w:p>
    <w:p>
      <w:pPr>
        <w:pStyle w:val="Normal"/>
        <w:tabs>
          <w:tab w:val="clear" w:pos="720"/>
          <w:tab w:val="left" w:pos="7920" w:leader="underscore"/>
        </w:tabs>
        <w:spacing w:before="40" w:after="40"/>
        <w:ind w:end="720"/>
        <w:jc w:val="both"/>
        <w:rPr>
          <w:b/>
        </w:rPr>
      </w:pPr>
      <w:r>
        <w:rPr>
          <w:b/>
        </w:rPr>
      </w:r>
    </w:p>
    <w:p>
      <w:pPr>
        <w:pStyle w:val="Heading8"/>
        <w:spacing w:before="40" w:after="40"/>
        <w:rPr/>
      </w:pPr>
      <w:r>
        <w:rPr>
          <w:b/>
          <w:i w:val="false"/>
        </w:rPr>
        <w:t xml:space="preserve">3. </w:t>
      </w:r>
      <w:r>
        <w:rPr>
          <w:b/>
        </w:rPr>
        <w:t>(Premier Level Only)</w:t>
      </w:r>
      <w:r>
        <w:rPr>
          <w:rFonts w:cs="Times New Roman" w:ascii="Times New Roman" w:hAnsi="Times New Roman"/>
          <w:b/>
        </w:rPr>
        <w:br/>
      </w:r>
      <w:r>
        <w:rPr>
          <w:rFonts w:cs="Times New Roman" w:ascii="Times New Roman" w:hAnsi="Times New Roman"/>
        </w:rPr>
        <w:br/>
      </w:r>
      <w:r>
        <w:rPr>
          <w:rFonts w:cs="Times New Roman" w:ascii="Times New Roman" w:hAnsi="Times New Roman"/>
          <w:b/>
          <w:i w:val="false"/>
        </w:rPr>
        <w:t>Name:</w:t>
      </w:r>
      <w:r>
        <w:rPr>
          <w:rFonts w:cs="Times New Roman" w:ascii="Times New Roman" w:hAnsi="Times New Roman"/>
          <w:u w:val="single"/>
        </w:rPr>
        <w:tab/>
        <w:tab/>
        <w:tab/>
        <w:tab/>
        <w:tab/>
        <w:tab/>
        <w:tab/>
        <w:tab/>
        <w:tab/>
        <w:t xml:space="preserve">              </w:t>
      </w:r>
      <w:r>
        <w:rPr>
          <w:rFonts w:cs="Times New Roman" w:ascii="Times New Roman" w:hAnsi="Times New Roman"/>
        </w:rPr>
        <w:tab/>
      </w:r>
    </w:p>
    <w:p>
      <w:pPr>
        <w:pStyle w:val="Normal"/>
        <w:tabs>
          <w:tab w:val="clear" w:pos="720"/>
          <w:tab w:val="left" w:pos="7920" w:leader="underscore"/>
        </w:tabs>
        <w:spacing w:before="40" w:after="40"/>
        <w:ind w:end="720"/>
        <w:jc w:val="both"/>
        <w:rPr>
          <w:b/>
        </w:rPr>
      </w:pPr>
      <w:r>
        <w:rPr>
          <w:b/>
        </w:rPr>
        <w:t>Title:</w:t>
        <w:tab/>
      </w:r>
    </w:p>
    <w:p>
      <w:pPr>
        <w:pStyle w:val="Normal"/>
        <w:tabs>
          <w:tab w:val="clear" w:pos="720"/>
          <w:tab w:val="left" w:pos="7920" w:leader="underscore"/>
        </w:tabs>
        <w:spacing w:before="40" w:after="40"/>
        <w:ind w:end="720"/>
        <w:jc w:val="both"/>
        <w:rPr>
          <w:b/>
        </w:rPr>
      </w:pPr>
      <w:r>
        <w:rPr>
          <w:b/>
        </w:rPr>
        <w:t>Telephone:</w:t>
        <w:tab/>
      </w:r>
    </w:p>
    <w:p>
      <w:pPr>
        <w:pStyle w:val="Normal"/>
        <w:tabs>
          <w:tab w:val="clear" w:pos="720"/>
          <w:tab w:val="left" w:pos="7920" w:leader="underscore"/>
        </w:tabs>
        <w:spacing w:before="40" w:after="40"/>
        <w:ind w:end="720"/>
        <w:jc w:val="both"/>
        <w:rPr>
          <w:b/>
        </w:rPr>
      </w:pPr>
      <w:r>
        <w:rPr>
          <w:b/>
        </w:rPr>
        <w:t>E-mail:</w:t>
        <w:tab/>
      </w:r>
    </w:p>
    <w:p>
      <w:pPr>
        <w:pStyle w:val="Normal"/>
        <w:jc w:val="center"/>
        <w:rPr>
          <w:b/>
        </w:rPr>
      </w:pPr>
      <w:r>
        <w:rPr>
          <w:b/>
        </w:rPr>
      </w:r>
    </w:p>
    <w:p>
      <w:pPr>
        <w:pStyle w:val="TitleB"/>
        <w:rPr/>
      </w:pPr>
      <w:r>
        <w:rPr/>
        <w:t>part iii:  SERVICE LEVELS AND PROBLEM RESOLUTION CRITERIA</w:t>
      </w:r>
    </w:p>
    <w:p>
      <w:pPr>
        <w:pStyle w:val="TitleB"/>
        <w:jc w:val="start"/>
        <w:rPr>
          <w:b w:val="false"/>
        </w:rPr>
      </w:pPr>
      <w:r>
        <w:rPr>
          <w:b w:val="false"/>
        </w:rPr>
      </w:r>
    </w:p>
    <w:p>
      <w:pPr>
        <w:pStyle w:val="TitleB"/>
        <w:jc w:val="start"/>
        <w:rPr/>
      </w:pPr>
      <w:r>
        <w:rPr>
          <w:b w:val="false"/>
        </w:rPr>
        <w:tab/>
      </w:r>
      <w:r>
        <w:rPr>
          <w:b w:val="false"/>
          <w:caps w:val="false"/>
          <w:smallCaps w:val="false"/>
          <w:u w:val="single"/>
        </w:rPr>
        <w:t>SERVICE LEVELS</w:t>
      </w:r>
      <w:r>
        <w:rPr>
          <w:b w:val="false"/>
          <w:caps w:val="false"/>
          <w:smallCaps w:val="false"/>
        </w:rPr>
        <w:t xml:space="preserve">.  Enron categorizes support in relation to the severity of the service call.  The following criteria are used to determine the level of support to be provided by Enron for the Software.  </w:t>
      </w:r>
    </w:p>
    <w:p>
      <w:pPr>
        <w:pStyle w:val="TitleB"/>
        <w:jc w:val="start"/>
        <w:rPr/>
      </w:pPr>
      <w:r>
        <w:rPr/>
        <w:tab/>
      </w:r>
      <w:r>
        <w:rPr>
          <w:b w:val="false"/>
          <w:caps w:val="false"/>
          <w:smallCaps w:val="false"/>
          <w:u w:val="single"/>
        </w:rPr>
        <w:t>Category 1 Problem</w:t>
      </w:r>
      <w:r>
        <w:rPr>
          <w:b w:val="false"/>
          <w:caps w:val="false"/>
          <w:smallCaps w:val="false"/>
        </w:rPr>
        <w:t>:  Problem that has resulted in a “down” situation in which Pipeline Company is unable to access or use EnronOnline, or significant functions thereof, with critical impact on its operations.</w:t>
      </w:r>
    </w:p>
    <w:p>
      <w:pPr>
        <w:pStyle w:val="TitleB"/>
        <w:jc w:val="start"/>
        <w:rPr>
          <w:b w:val="false"/>
        </w:rPr>
      </w:pPr>
      <w:r>
        <w:rPr>
          <w:b w:val="false"/>
          <w:caps w:val="false"/>
          <w:smallCaps w:val="false"/>
        </w:rPr>
        <w:tab/>
      </w:r>
      <w:r>
        <w:rPr>
          <w:b w:val="false"/>
          <w:caps w:val="false"/>
          <w:smallCaps w:val="false"/>
          <w:u w:val="single"/>
        </w:rPr>
        <w:t>Category 2 Problem</w:t>
      </w:r>
      <w:r>
        <w:rPr>
          <w:b w:val="false"/>
          <w:caps w:val="false"/>
          <w:smallCaps w:val="false"/>
        </w:rPr>
        <w:t>:  Problem in which Pipeline Company is unable to access or use EnronOnline or significant functions thereof, but the impact on its operations is not critical.</w:t>
      </w:r>
    </w:p>
    <w:p>
      <w:pPr>
        <w:pStyle w:val="TitleB"/>
        <w:ind w:firstLine="720" w:end="0"/>
        <w:jc w:val="start"/>
        <w:rPr/>
      </w:pPr>
      <w:r>
        <w:rPr>
          <w:b w:val="false"/>
          <w:caps w:val="false"/>
          <w:smallCaps w:val="false"/>
          <w:u w:val="single"/>
        </w:rPr>
        <w:t>Category 3 Problem</w:t>
      </w:r>
      <w:r>
        <w:rPr>
          <w:b w:val="false"/>
          <w:caps w:val="false"/>
          <w:smallCaps w:val="false"/>
        </w:rPr>
        <w:t>:  Problem that does not seriously affect Pipeline Company’s operations or schedules.  A Category 1 or 2 Problem that has been temporarily resolved with a work-around may be categorized thereafter as a Category 3 Problem, but only upon mutual agreement of Pipeline Company and Enron.</w:t>
      </w:r>
    </w:p>
    <w:p>
      <w:pPr>
        <w:pStyle w:val="TitleB"/>
        <w:jc w:val="start"/>
        <w:rPr/>
      </w:pPr>
      <w:r>
        <w:rPr>
          <w:b w:val="false"/>
          <w:caps w:val="false"/>
          <w:smallCaps w:val="false"/>
        </w:rPr>
        <w:tab/>
      </w:r>
      <w:r>
        <w:rPr>
          <w:b w:val="false"/>
          <w:caps w:val="false"/>
          <w:smallCaps w:val="false"/>
          <w:u w:val="single"/>
        </w:rPr>
        <w:t>Category 4 Problem</w:t>
      </w:r>
      <w:r>
        <w:rPr>
          <w:b w:val="false"/>
          <w:caps w:val="false"/>
          <w:smallCaps w:val="false"/>
        </w:rPr>
        <w:t>:  Problem that is not classified as Category 1, 2 or 3.</w:t>
      </w:r>
    </w:p>
    <w:p>
      <w:pPr>
        <w:pStyle w:val="Normal"/>
        <w:jc w:val="center"/>
        <w:rPr>
          <w:b/>
          <w:caps/>
        </w:rPr>
      </w:pPr>
      <w:r>
        <w:rPr>
          <w:b/>
          <w:caps/>
        </w:rPr>
      </w:r>
    </w:p>
    <w:tbl>
      <w:tblPr>
        <w:tblW w:w="8936" w:type="dxa"/>
        <w:jc w:val="center"/>
        <w:tblInd w:w="0" w:type="dxa"/>
        <w:tblLayout w:type="fixed"/>
        <w:tblCellMar>
          <w:top w:w="0" w:type="dxa"/>
          <w:start w:w="108" w:type="dxa"/>
          <w:bottom w:w="0" w:type="dxa"/>
          <w:end w:w="108" w:type="dxa"/>
        </w:tblCellMar>
      </w:tblPr>
      <w:tblGrid>
        <w:gridCol w:w="1030"/>
        <w:gridCol w:w="2250"/>
        <w:gridCol w:w="1710"/>
        <w:gridCol w:w="1800"/>
        <w:gridCol w:w="2146"/>
      </w:tblGrid>
      <w:tr>
        <w:trPr>
          <w:tblHeader w:val="true"/>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rPr>
                <w:b/>
                <w:color w:val="000000"/>
              </w:rPr>
            </w:pPr>
            <w:r>
              <w:rPr>
                <w:b/>
                <w:color w:val="000000"/>
              </w:rPr>
              <w:t>Severity</w:t>
            </w:r>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rPr>
                <w:b/>
              </w:rPr>
            </w:pPr>
            <w:r>
              <w:rPr>
                <w:b/>
              </w:rPr>
              <w:t>Initial Response</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rPr>
                <w:b/>
              </w:rPr>
            </w:pPr>
            <w:r>
              <w:rPr>
                <w:b/>
              </w:rPr>
              <w:t>Update</w:t>
            </w:r>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rPr>
                <w:b/>
              </w:rPr>
            </w:pPr>
            <w:r>
              <w:rPr>
                <w:b/>
              </w:rPr>
              <w:t>Action</w:t>
            </w:r>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rPr>
                <w:b/>
              </w:rPr>
            </w:pPr>
            <w:r>
              <w:rPr>
                <w:b/>
              </w:rPr>
              <w:t>Service Patch/ Maintenance Release</w:t>
            </w:r>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rPr/>
            </w:pPr>
            <w:r>
              <w:rPr/>
              <w:t>Category 1</w:t>
            </w:r>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rPr/>
            </w:pPr>
            <w:r>
              <w:rPr/>
              <w:t>1 Business hour, if required</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rPr/>
            </w:pPr>
            <w:r>
              <w:rPr/>
              <w:t>Every business day</w:t>
            </w:r>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rPr/>
            </w:pPr>
            <w:r>
              <w:rPr/>
              <w:t>Work continuously</w:t>
            </w:r>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rPr/>
            </w:pPr>
            <w:r>
              <w:rPr/>
              <w:t>Next</w:t>
            </w:r>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rPr/>
            </w:pPr>
            <w:r>
              <w:rPr/>
              <w:t>Category 2</w:t>
            </w:r>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rPr/>
            </w:pPr>
            <w:r>
              <w:rPr/>
              <w:t xml:space="preserve">2-4 Business hours </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rPr/>
            </w:pPr>
            <w:r>
              <w:rPr/>
              <w:t>As required</w:t>
            </w:r>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rPr/>
            </w:pPr>
            <w:r>
              <w:rPr/>
              <w:t>ASAP</w:t>
            </w:r>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rPr/>
            </w:pPr>
            <w:r>
              <w:rPr/>
              <w:t>As required</w:t>
            </w:r>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rPr/>
            </w:pPr>
            <w:r>
              <w:rPr/>
              <w:t>Category 3</w:t>
            </w:r>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rPr/>
            </w:pPr>
            <w:r>
              <w:rPr/>
              <w:t>1 Business day</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rPr/>
            </w:pPr>
            <w:r>
              <w:rPr/>
              <w:t>TBD</w:t>
            </w:r>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rPr/>
            </w:pPr>
            <w:r>
              <w:rPr/>
              <w:t>Reasonable</w:t>
            </w:r>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rPr/>
            </w:pPr>
            <w:r>
              <w:rPr/>
              <w:t>TBD</w:t>
            </w:r>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rPr/>
            </w:pPr>
            <w:r>
              <w:rPr/>
              <w:t>Category 4</w:t>
            </w:r>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rPr/>
            </w:pPr>
            <w:r>
              <w:rPr/>
              <w:t xml:space="preserve">2-3 Business days </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rPr/>
            </w:pPr>
            <w:r>
              <w:rPr/>
              <w:t>TBD</w:t>
            </w:r>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rPr/>
            </w:pPr>
            <w:r>
              <w:rPr/>
              <w:t>Reasonable</w:t>
            </w:r>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rPr/>
            </w:pPr>
            <w:r>
              <w:rPr/>
              <w:t>TBD</w:t>
            </w:r>
          </w:p>
        </w:tc>
      </w:tr>
    </w:tbl>
    <w:p>
      <w:pPr>
        <w:pStyle w:val="BodyTextLA"/>
        <w:spacing w:before="0" w:after="240"/>
        <w:rPr/>
      </w:pPr>
      <w:r>
        <w:rPr/>
      </w:r>
    </w:p>
    <w:sectPr>
      <w:headerReference w:type="default" r:id="rId19"/>
      <w:headerReference w:type="first" r:id="rId20"/>
      <w:footerReference w:type="default" r:id="rId21"/>
      <w:footerReference w:type="first" r:id="rId22"/>
      <w:type w:val="nextPage"/>
      <w:pgSz w:w="12240" w:h="15840"/>
      <w:pgMar w:left="1440" w:right="1440" w:gutter="0" w:header="1152"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G Lucida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sz w:val="16"/>
      </w:rPr>
    </w:pPr>
    <w:r>
      <w:rPr>
        <w:sz w:val="16"/>
      </w:rPr>
    </w:r>
  </w:p>
  <w:p>
    <w:pPr>
      <w:pStyle w:val="Footer"/>
      <w:tabs>
        <w:tab w:val="clear" w:pos="4320"/>
        <w:tab w:val="center" w:pos="5040" w:leader="none"/>
        <w:tab w:val="right" w:pos="8640" w:leader="none"/>
      </w:tabs>
      <w:rPr>
        <w:sz w:val="16"/>
      </w:rPr>
    </w:pPr>
    <w:r>
      <w:rPr>
        <w:sz w:val="16"/>
      </w:rPr>
    </w:r>
  </w:p>
  <w:p>
    <w:pPr>
      <w:pStyle w:val="Footer"/>
      <w:rPr>
        <w:sz w:val="16"/>
      </w:rPr>
    </w:pPr>
    <w:r>
      <w:rPr>
        <w:sz w:val="16"/>
      </w:rPr>
    </w:r>
  </w:p>
  <w:p>
    <w:pPr>
      <w:pStyle w:val="Footer"/>
      <w:tabs>
        <w:tab w:val="clear" w:pos="4320"/>
        <w:tab w:val="center" w:pos="5040" w:leader="none"/>
        <w:tab w:val="right" w:pos="8640" w:leader="none"/>
      </w:tabs>
      <w:rPr/>
    </w:pPr>
    <w:r>
      <w:rPr>
        <w:sz w:val="16"/>
      </w:rPr>
      <w:t>NY12525:272116.3</w:t>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NY12525:272116.6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sz w:val="16"/>
      </w:rPr>
    </w:pPr>
    <w:r>
      <w:rPr>
        <w:sz w:val="16"/>
      </w:rPr>
    </w:r>
  </w:p>
  <w:p>
    <w:pPr>
      <w:pStyle w:val="Footer"/>
      <w:tabs>
        <w:tab w:val="clear" w:pos="4320"/>
        <w:tab w:val="center" w:pos="5040" w:leader="none"/>
        <w:tab w:val="right" w:pos="8640" w:leader="none"/>
      </w:tabs>
      <w:rPr>
        <w:sz w:val="16"/>
      </w:rPr>
    </w:pPr>
    <w:r>
      <w:rPr>
        <w:sz w:val="16"/>
      </w:rPr>
    </w:r>
  </w:p>
  <w:p>
    <w:pPr>
      <w:pStyle w:val="Footer"/>
      <w:rPr>
        <w:sz w:val="16"/>
      </w:rPr>
    </w:pPr>
    <w:r>
      <w:rPr>
        <w:sz w:val="16"/>
      </w:rPr>
    </w:r>
  </w:p>
  <w:p>
    <w:pPr>
      <w:pStyle w:val="Footer"/>
      <w:tabs>
        <w:tab w:val="clear" w:pos="4320"/>
        <w:tab w:val="center" w:pos="5040" w:leader="none"/>
        <w:tab w:val="right" w:pos="8640" w:leader="none"/>
      </w:tabs>
      <w:rPr/>
    </w:pPr>
    <w:r>
      <w:rPr>
        <w:sz w:val="16"/>
      </w:rPr>
      <w:t>NY12525:272116.3</w:t>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sz w:val="16"/>
      </w:rPr>
    </w:pPr>
    <w:r>
      <w:rPr>
        <w:sz w:val="16"/>
      </w:rPr>
      <w:t>NY12525:272116.6</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A-</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B-</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del w:id="0" w:author="For Help Call PC Support, x4277" w:date="2000-07-27T10:54:00Z">
      <w:r>
        <w:rPr>
          <w:b/>
        </w:rPr>
        <w:delText>IntercontinentalExchange</w:delText>
        <w:tab/>
        <w:delText>Confidential</w:delText>
      </w:r>
    </w:del>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i/>
        <w:i/>
      </w:rPr>
    </w:pPr>
    <w:r>
      <w:rPr>
        <w:i/>
      </w:rPr>
      <w:t>S&amp;C Draft of February 14,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lowerLetter"/>
      <w:lvlText w:val="%2)"/>
      <w:lvlJc w:val="start"/>
      <w:pPr>
        <w:tabs>
          <w:tab w:val="num" w:pos="720"/>
        </w:tabs>
        <w:ind w:start="720" w:hanging="360"/>
      </w:pPr>
      <w:rPr>
        <w:sz w:val="20"/>
        <w:i w:val="false"/>
        <w:b w:val="false"/>
        <w:rFonts w:ascii="Arial" w:hAnsi="Arial" w:cs="Arial"/>
      </w:rPr>
    </w:lvl>
    <w:lvl w:ilvl="2">
      <w:start w:val="1"/>
      <w:pStyle w:val="Heading3"/>
      <w:numFmt w:val="lowerRoman"/>
      <w:suff w:val="nothing"/>
      <w:lvlText w:val="(%3)"/>
      <w:lvlJc w:val="start"/>
      <w:pPr>
        <w:tabs>
          <w:tab w:val="num" w:pos="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Roman"/>
      <w:suff w:val="space"/>
      <w:lvlText w:val="%1."/>
      <w:lvlJc w:val="start"/>
      <w:pPr>
        <w:tabs>
          <w:tab w:val="num" w:pos="0"/>
        </w:tabs>
        <w:ind w:start="720" w:hanging="720"/>
      </w:pPr>
    </w:lvl>
    <w:lvl w:ilvl="1">
      <w:start w:val="1"/>
      <w:numFmt w:val="upperLetter"/>
      <w:suff w:val="nothing"/>
      <w:lvlText w:val="%2."/>
      <w:lvlJc w:val="start"/>
      <w:pPr>
        <w:tabs>
          <w:tab w:val="num" w:pos="0"/>
        </w:tabs>
        <w:ind w:start="720" w:hanging="720"/>
      </w:pPr>
    </w:lvl>
    <w:lvl w:ilvl="2">
      <w:start w:val="1"/>
      <w:numFmt w:val="lowerLetter"/>
      <w:suff w:val="nothing"/>
      <w:lvlText w:val="%3)"/>
      <w:lvlJc w:val="start"/>
      <w:pPr>
        <w:tabs>
          <w:tab w:val="num" w:pos="0"/>
        </w:tabs>
        <w:ind w:start="144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upperRoman"/>
      <w:lvlText w:val="%1."/>
      <w:lvlJc w:val="start"/>
      <w:pPr>
        <w:tabs>
          <w:tab w:val="num" w:pos="720"/>
        </w:tabs>
        <w:ind w:start="720" w:hanging="720"/>
      </w:pPr>
    </w:lvl>
    <w:lvl w:ilvl="1">
      <w:start w:val="1"/>
      <w:numFmt w:val="upperLetter"/>
      <w:suff w:val="nothing"/>
      <w:lvlText w:val="%2."/>
      <w:lvlJc w:val="start"/>
      <w:pPr>
        <w:tabs>
          <w:tab w:val="num" w:pos="0"/>
        </w:tabs>
        <w:ind w:start="0" w:firstLine="720"/>
      </w:pPr>
    </w:lvl>
    <w:lvl w:ilvl="2">
      <w:start w:val="1"/>
      <w:numFmt w:val="decimal"/>
      <w:suff w:val="nothing"/>
      <w:lvlText w:val="%3."/>
      <w:lvlJc w:val="start"/>
      <w:pPr>
        <w:tabs>
          <w:tab w:val="num" w:pos="0"/>
        </w:tabs>
        <w:ind w:start="1440" w:hanging="720"/>
      </w:pPr>
    </w:lvl>
    <w:lvl w:ilvl="3">
      <w:start w:val="1"/>
      <w:numFmt w:val="lowerLetter"/>
      <w:lvlText w:val="%4)"/>
      <w:lvlJc w:val="start"/>
      <w:pPr>
        <w:tabs>
          <w:tab w:val="num" w:pos="2160"/>
        </w:tabs>
        <w:ind w:start="2160" w:hanging="72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9">
    <w:lvl w:ilvl="0">
      <w:start w:val="1"/>
      <w:numFmt w:val="upperRoman"/>
      <w:lvlText w:val="%1."/>
      <w:lvlJc w:val="start"/>
      <w:pPr>
        <w:tabs>
          <w:tab w:val="num" w:pos="720"/>
        </w:tabs>
        <w:ind w:start="720" w:hanging="720"/>
      </w:pPr>
    </w:lvl>
    <w:lvl w:ilvl="1">
      <w:start w:val="1"/>
      <w:numFmt w:val="upperLetter"/>
      <w:suff w:val="nothing"/>
      <w:lvlText w:val="%2."/>
      <w:lvlJc w:val="start"/>
      <w:pPr>
        <w:tabs>
          <w:tab w:val="num" w:pos="0"/>
        </w:tabs>
        <w:ind w:start="720" w:hanging="720"/>
      </w:pPr>
    </w:lvl>
    <w:lvl w:ilvl="2">
      <w:start w:val="1"/>
      <w:numFmt w:val="decimal"/>
      <w:suff w:val="nothing"/>
      <w:lvlText w:val="%3."/>
      <w:lvlJc w:val="start"/>
      <w:pPr>
        <w:tabs>
          <w:tab w:val="num" w:pos="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upperRoman"/>
      <w:lvlText w:val="%1."/>
      <w:lvlJc w:val="start"/>
      <w:pPr>
        <w:tabs>
          <w:tab w:val="num" w:pos="720"/>
        </w:tabs>
        <w:ind w:start="720" w:hanging="720"/>
      </w:pPr>
    </w:lvl>
    <w:lvl w:ilvl="1">
      <w:start w:val="7"/>
      <w:numFmt w:val="upperLetter"/>
      <w:suff w:val="nothing"/>
      <w:lvlText w:val="%2."/>
      <w:lvlJc w:val="start"/>
      <w:pPr>
        <w:tabs>
          <w:tab w:val="num" w:pos="0"/>
        </w:tabs>
        <w:ind w:start="720" w:hanging="720"/>
      </w:pPr>
    </w:lvl>
    <w:lvl w:ilvl="2">
      <w:start w:val="1"/>
      <w:numFmt w:val="decimal"/>
      <w:suff w:val="nothing"/>
      <w:lvlText w:val="%3."/>
      <w:lvlJc w:val="start"/>
      <w:pPr>
        <w:tabs>
          <w:tab w:val="num" w:pos="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9"/>
    <w:lvlOverride w:ilvl="0">
      <w:startOverride w:val="1"/>
    </w:lvlOverride>
    <w:lvlOverride w:ilvl="1">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kern w:val="2"/>
    </w:rPr>
  </w:style>
  <w:style w:type="paragraph" w:styleId="Heading2">
    <w:name w:val="heading 2"/>
    <w:basedOn w:val="Normal"/>
    <w:next w:val="Normal"/>
    <w:qFormat/>
    <w:pPr>
      <w:numPr>
        <w:ilvl w:val="1"/>
        <w:numId w:val="1"/>
      </w:numPr>
      <w:spacing w:lineRule="auto" w:line="360" w:before="0" w:after="240"/>
      <w:outlineLvl w:val="1"/>
    </w:pPr>
    <w:rPr/>
  </w:style>
  <w:style w:type="paragraph" w:styleId="Heading3">
    <w:name w:val="heading 3"/>
    <w:basedOn w:val="Normal"/>
    <w:next w:val="Normal"/>
    <w:qFormat/>
    <w:pPr>
      <w:numPr>
        <w:ilvl w:val="2"/>
        <w:numId w:val="1"/>
      </w:numPr>
      <w:spacing w:lineRule="auto" w:line="360" w:before="0" w:after="240"/>
      <w:outlineLvl w:val="2"/>
    </w:pPr>
    <w:rPr/>
  </w:style>
  <w:style w:type="paragraph" w:styleId="Heading4">
    <w:name w:val="heading 4"/>
    <w:basedOn w:val="Normal"/>
    <w:next w:val="Normal"/>
    <w:qFormat/>
    <w:pPr>
      <w:keepNext w:val="true"/>
      <w:spacing w:before="240" w:after="60"/>
      <w:outlineLvl w:val="3"/>
    </w:pPr>
    <w:rPr>
      <w:b/>
      <w:sz w:val="24"/>
    </w:rPr>
  </w:style>
  <w:style w:type="paragraph" w:styleId="Heading5">
    <w:name w:val="heading 5"/>
    <w:basedOn w:val="Normal"/>
    <w:next w:val="Normal"/>
    <w:qFormat/>
    <w:pPr>
      <w:spacing w:before="240" w:after="60"/>
      <w:outlineLvl w:val="4"/>
    </w:pPr>
    <w:rPr>
      <w:sz w:val="24"/>
    </w:rPr>
  </w:style>
  <w:style w:type="paragraph" w:styleId="Heading6">
    <w:name w:val="heading 6"/>
    <w:basedOn w:val="Normal"/>
    <w:next w:val="Normal"/>
    <w:qFormat/>
    <w:pPr>
      <w:spacing w:before="240" w:after="60"/>
      <w:outlineLvl w:val="5"/>
    </w:pPr>
    <w:rPr>
      <w:i/>
      <w:sz w:val="24"/>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2"/>
    </w:rPr>
  </w:style>
  <w:style w:type="paragraph" w:styleId="Heading9">
    <w:name w:val="heading 9"/>
    <w:basedOn w:val="Normal"/>
    <w:next w:val="Normal"/>
    <w:qFormat/>
    <w:pPr>
      <w:spacing w:before="240" w:after="60"/>
      <w:outlineLvl w:val="8"/>
    </w:pPr>
    <w:rPr>
      <w:b/>
      <w:i/>
      <w:sz w:val="24"/>
    </w:rPr>
  </w:style>
  <w:style w:type="character" w:styleId="WW8Num6z1">
    <w:name w:val="WW8Num6z1"/>
    <w:qFormat/>
    <w:rPr>
      <w:b w:val="false"/>
      <w:i w:val="false"/>
      <w:u w:val="none"/>
    </w:rPr>
  </w:style>
  <w:style w:type="character" w:styleId="WW8Num8z1">
    <w:name w:val="WW8Num8z1"/>
    <w:qFormat/>
    <w:rPr>
      <w:rFonts w:ascii="Arial" w:hAnsi="Arial" w:cs="Arial"/>
      <w:b w:val="false"/>
      <w:i w:val="false"/>
      <w:sz w:val="20"/>
    </w:rPr>
  </w:style>
  <w:style w:type="character" w:styleId="WW8Num10z0">
    <w:name w:val="WW8Num10z0"/>
    <w:qFormat/>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21z0">
    <w:name w:val="WW8Num21z0"/>
    <w:qFormat/>
    <w:rPr/>
  </w:style>
  <w:style w:type="character" w:styleId="WW8Num22z0">
    <w:name w:val="WW8Num22z0"/>
    <w:qFormat/>
    <w:rPr>
      <w:rFonts w:ascii="Symbol" w:hAnsi="Symbol" w:cs="Symbol"/>
    </w:rPr>
  </w:style>
  <w:style w:type="character" w:styleId="WW8Num24z0">
    <w:name w:val="WW8Num24z0"/>
    <w:qFormat/>
    <w:rPr/>
  </w:style>
  <w:style w:type="character" w:styleId="WW8Num28z0">
    <w:name w:val="WW8Num28z0"/>
    <w:qFormat/>
    <w:rPr>
      <w:rFonts w:ascii="Symbol" w:hAnsi="Symbol" w:cs="Symbol"/>
    </w:rPr>
  </w:style>
  <w:style w:type="character" w:styleId="WW8Num31z0">
    <w:name w:val="WW8Num31z0"/>
    <w:qFormat/>
    <w:rPr/>
  </w:style>
  <w:style w:type="character" w:styleId="WW8Num34z0">
    <w:name w:val="WW8Num34z0"/>
    <w:qFormat/>
    <w:rPr>
      <w:rFonts w:ascii="Times New Roman" w:hAnsi="Times New Roman" w:cs="Times New Roman"/>
      <w:b w:val="false"/>
      <w:i w:val="false"/>
      <w:sz w:val="22"/>
      <w:u w:val="none"/>
    </w:rPr>
  </w:style>
  <w:style w:type="character" w:styleId="WW8Num36z0">
    <w:name w:val="WW8Num36z0"/>
    <w:qFormat/>
    <w:rPr/>
  </w:style>
  <w:style w:type="character" w:styleId="WW8Num39z0">
    <w:name w:val="WW8Num39z0"/>
    <w:qFormat/>
    <w:rPr/>
  </w:style>
  <w:style w:type="character" w:styleId="WW8Num42z0">
    <w:name w:val="WW8Num42z0"/>
    <w:qFormat/>
    <w:rPr/>
  </w:style>
  <w:style w:type="character" w:styleId="WW8Num44z0">
    <w:name w:val="WW8Num44z0"/>
    <w:qFormat/>
    <w:rPr/>
  </w:style>
  <w:style w:type="character" w:styleId="WW8Num45z1">
    <w:name w:val="WW8Num45z1"/>
    <w:qFormat/>
    <w:rPr>
      <w:rFonts w:ascii="Arial" w:hAnsi="Arial" w:cs="Arial"/>
      <w:b w:val="false"/>
      <w:i w:val="false"/>
      <w:sz w:val="20"/>
    </w:rPr>
  </w:style>
  <w:style w:type="character" w:styleId="WW8Num46z0">
    <w:name w:val="WW8Num46z0"/>
    <w:qFormat/>
    <w:rPr/>
  </w:style>
  <w:style w:type="character" w:styleId="WW8Num47z0">
    <w:name w:val="WW8Num47z0"/>
    <w:qFormat/>
    <w:rPr>
      <w:b w:val="false"/>
    </w:rPr>
  </w:style>
  <w:style w:type="character" w:styleId="WW8Num49z0">
    <w:name w:val="WW8Num49z0"/>
    <w:qFormat/>
    <w:rPr/>
  </w:style>
  <w:style w:type="character" w:styleId="WW8Num52z1">
    <w:name w:val="WW8Num52z1"/>
    <w:qFormat/>
    <w:rPr>
      <w:rFonts w:ascii="Arial" w:hAnsi="Arial" w:cs="Arial"/>
      <w:b w:val="false"/>
      <w:i w:val="false"/>
      <w:sz w:val="20"/>
    </w:rPr>
  </w:style>
  <w:style w:type="character" w:styleId="WW8NumSt50z0">
    <w:name w:val="WW8NumSt50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spacing w:lineRule="auto" w:line="360"/>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spacing w:lineRule="auto" w:line="360"/>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keepNext w:val="false"/>
      <w:spacing w:before="0" w:after="300"/>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lineRule="auto" w:line="360" w:before="0" w:after="240"/>
      <w:ind w:hanging="0" w:start="360" w:end="0"/>
    </w:pPr>
    <w:rPr>
      <w:lang w:val="en-AU"/>
    </w:rPr>
  </w:style>
  <w:style w:type="paragraph" w:styleId="BodyTextIndent2">
    <w:name w:val="Body Text Indent 2"/>
    <w:basedOn w:val="Normal"/>
    <w:qFormat/>
    <w:pPr>
      <w:tabs>
        <w:tab w:val="clear" w:pos="720"/>
        <w:tab w:val="left" w:pos="0" w:leader="none"/>
      </w:tabs>
      <w:spacing w:lineRule="auto" w:line="360" w:before="0" w:after="240"/>
      <w:ind w:hanging="0" w:start="1440" w:end="0"/>
      <w:jc w:val="both"/>
    </w:pPr>
    <w:rPr/>
  </w:style>
  <w:style w:type="paragraph" w:styleId="TOC2">
    <w:name w:val="toc 2"/>
    <w:basedOn w:val="Normal"/>
    <w:next w:val="Normal"/>
    <w:pPr>
      <w:ind w:hanging="0" w:start="200" w:end="0"/>
    </w:pPr>
    <w:rPr/>
  </w:style>
  <w:style w:type="paragraph" w:styleId="TOC1">
    <w:name w:val="toc 1"/>
    <w:basedOn w:val="Normal"/>
    <w:next w:val="Normal"/>
    <w:pPr>
      <w:tabs>
        <w:tab w:val="clear" w:pos="720"/>
        <w:tab w:val="left" w:pos="400" w:leader="none"/>
        <w:tab w:val="right" w:pos="9090" w:leader="dot"/>
      </w:tabs>
      <w:spacing w:before="0" w:after="120"/>
    </w:pPr>
    <w:rPr>
      <w:b/>
      <w:color w:val="000000"/>
      <w:lang w:val="en-CA"/>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SchedAHeadingI">
    <w:name w:val="SchedA: Heading I"/>
    <w:basedOn w:val="BodyText5LA"/>
    <w:qFormat/>
    <w:pPr>
      <w:numPr>
        <w:ilvl w:val="0"/>
        <w:numId w:val="2"/>
      </w:numPr>
    </w:pPr>
    <w:rPr>
      <w:b/>
    </w:rPr>
  </w:style>
  <w:style w:type="paragraph" w:styleId="SchedAHeading2">
    <w:name w:val="SchedA: Heading 2"/>
    <w:basedOn w:val="BodyText5LA"/>
    <w:qFormat/>
    <w:pPr>
      <w:keepNext w:val="true"/>
      <w:numPr>
        <w:ilvl w:val="0"/>
        <w:numId w:val="9"/>
      </w:numPr>
    </w:pPr>
    <w:rPr>
      <w:b/>
    </w:rPr>
  </w:style>
  <w:style w:type="paragraph" w:styleId="SchedAHeading3">
    <w:name w:val="SchedA: Heading 3"/>
    <w:basedOn w:val="SchedAHeading2"/>
    <w:qFormat/>
    <w:pPr>
      <w:numPr>
        <w:ilvl w:val="0"/>
        <w:numId w:val="8"/>
      </w:numPr>
      <w:spacing w:before="0" w:after="180"/>
    </w:pPr>
    <w:rPr/>
  </w:style>
  <w:style w:type="paragraph" w:styleId="SchedBHeading2">
    <w:name w:val="SchedB:Heading2"/>
    <w:basedOn w:val="BodyText5LA"/>
    <w:qFormat/>
    <w:pPr>
      <w:numPr>
        <w:ilvl w:val="0"/>
        <w:numId w:val="4"/>
      </w:numPr>
      <w:spacing w:before="0" w:after="180"/>
    </w:pPr>
    <w:rPr>
      <w:b/>
    </w:rPr>
  </w:style>
  <w:style w:type="paragraph" w:styleId="SchedHeading3">
    <w:name w:val="Sched: Heading 3"/>
    <w:basedOn w:val="Normal"/>
    <w:qFormat/>
    <w:pPr>
      <w:numPr>
        <w:ilvl w:val="0"/>
        <w:numId w:val="4"/>
      </w:numPr>
      <w:spacing w:lineRule="auto" w:line="360" w:before="0" w:after="180"/>
    </w:pPr>
    <w:rPr/>
  </w:style>
  <w:style w:type="paragraph" w:styleId="SchedAHeading4">
    <w:name w:val="SchedA:Heading 4"/>
    <w:basedOn w:val="SchedAHeading3"/>
    <w:qFormat/>
    <w:pPr>
      <w:numPr>
        <w:ilvl w:val="0"/>
        <w:numId w:val="8"/>
      </w:numPr>
    </w:pPr>
    <w:rPr>
      <w:b w:val="false"/>
    </w:rPr>
  </w:style>
  <w:style w:type="paragraph" w:styleId="BodyTextIndent5">
    <w:name w:val="Body Text Indent .5&quot;"/>
    <w:basedOn w:val="BodyText"/>
    <w:qFormat/>
    <w:pPr>
      <w:spacing w:lineRule="auto" w:line="360" w:before="0" w:after="240"/>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www.enrononline.com/"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2001-02-14T16:29:00Z</dcterms:created>
  <dc:creator>For Help Call PC Support, x4277</dc:creator>
  <dc:description/>
  <dc:language>en-CA</dc:language>
  <cp:lastModifiedBy>Information Services</cp:lastModifiedBy>
  <cp:lastPrinted>2001-02-14T13:08:00Z</cp:lastPrinted>
  <dcterms:modified xsi:type="dcterms:W3CDTF">2001-02-14T16:29:00Z</dcterms:modified>
  <cp:revision>2</cp:revision>
  <dc:subject/>
  <dc:title>NA Version 2 - November 27, 1999</dc:title>
</cp:coreProperties>
</file>