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p>
    <w:p>
      <w:pPr>
        <w:pStyle w:val="Date"/>
        <w:rPr/>
      </w:pPr>
      <w:r>
        <w:rPr/>
      </w:r>
    </w:p>
    <w:p>
      <w:pPr>
        <w:pStyle w:val="Date"/>
        <w:rPr/>
      </w:pPr>
      <w:r>
        <w:rPr/>
      </w:r>
    </w:p>
    <w:p>
      <w:pPr>
        <w:pStyle w:val="Date"/>
        <w:tabs>
          <w:tab w:val="clear" w:pos="720"/>
          <w:tab w:val="left" w:pos="925" w:leader="none"/>
        </w:tabs>
        <w:rPr/>
      </w:pPr>
      <w:r>
        <w:rPr/>
        <w:tab/>
      </w:r>
    </w:p>
    <w:p>
      <w:pPr>
        <w:pStyle w:val="Date"/>
        <w:rPr/>
      </w:pPr>
      <w:r>
        <w:rPr/>
        <w:t>January 25, 2001</w:t>
      </w:r>
    </w:p>
    <w:p>
      <w:pPr>
        <w:pStyle w:val="InsideAddressName"/>
        <w:rPr/>
      </w:pPr>
      <w:r>
        <w:rPr/>
        <w:t>Mr. Rich Jolly</w:t>
      </w:r>
    </w:p>
    <w:p>
      <w:pPr>
        <w:pStyle w:val="InsideAddress"/>
        <w:rPr/>
      </w:pPr>
      <w:r>
        <w:rPr/>
        <w:t>Enron Transportation Services</w:t>
      </w:r>
    </w:p>
    <w:p>
      <w:pPr>
        <w:pStyle w:val="InsideAddress"/>
        <w:rPr/>
      </w:pPr>
      <w:r>
        <w:rPr/>
        <w:t>4001 Indian School Rd, NE, Ste. 250</w:t>
      </w:r>
    </w:p>
    <w:p>
      <w:pPr>
        <w:pStyle w:val="InsideAddress"/>
        <w:rPr/>
      </w:pPr>
      <w:r>
        <w:rPr/>
        <w:t>Albuquerque, NM  87110</w:t>
      </w:r>
    </w:p>
    <w:p>
      <w:pPr>
        <w:pStyle w:val="Salutation"/>
        <w:spacing w:before="220" w:after="120"/>
        <w:ind w:hanging="806" w:start="806" w:end="0"/>
        <w:rPr/>
      </w:pPr>
      <w:r>
        <w:rPr/>
        <w:t>Subject:</w:t>
        <w:tab/>
        <w:t>Quotation for Compression Equipment Enhancement Analysis</w:t>
        <w:br/>
        <w:t>ACTT Quote #089100077</w:t>
      </w:r>
    </w:p>
    <w:p>
      <w:pPr>
        <w:pStyle w:val="Salutation"/>
        <w:spacing w:before="120" w:after="220"/>
        <w:rPr/>
      </w:pPr>
      <w:r>
        <w:rPr/>
        <w:t>Dear Mr. Jolly</w:t>
      </w:r>
    </w:p>
    <w:p>
      <w:pPr>
        <w:pStyle w:val="BodyText"/>
        <w:rPr/>
      </w:pPr>
      <w:r>
        <w:rPr/>
        <w:t>Thank you for your interest in ACTT’s technical consulting services.  Per your request, we are pleased to quote these services for you as follows:</w:t>
      </w:r>
    </w:p>
    <w:tbl>
      <w:tblPr>
        <w:tblW w:w="8136" w:type="dxa"/>
        <w:jc w:val="start"/>
        <w:tblInd w:w="720" w:type="dxa"/>
        <w:tblLayout w:type="fixed"/>
        <w:tblCellMar>
          <w:top w:w="0" w:type="dxa"/>
          <w:start w:w="108" w:type="dxa"/>
          <w:bottom w:w="0" w:type="dxa"/>
          <w:end w:w="108" w:type="dxa"/>
        </w:tblCellMar>
      </w:tblPr>
      <w:tblGrid>
        <w:gridCol w:w="1181"/>
        <w:gridCol w:w="6955"/>
      </w:tblGrid>
      <w:tr>
        <w:trPr/>
        <w:tc>
          <w:tcPr>
            <w:tcW w:w="8136" w:type="dxa"/>
            <w:gridSpan w:val="2"/>
            <w:tcBorders/>
          </w:tcPr>
          <w:p>
            <w:pPr>
              <w:pStyle w:val="BodyText"/>
              <w:spacing w:before="0" w:after="220"/>
              <w:rPr>
                <w:u w:val="single"/>
              </w:rPr>
            </w:pPr>
            <w:r>
              <w:rPr>
                <w:b/>
                <w:bCs/>
              </w:rPr>
              <w:t>Scope of Work:</w:t>
            </w:r>
          </w:p>
        </w:tc>
      </w:tr>
      <w:tr>
        <w:trPr/>
        <w:tc>
          <w:tcPr>
            <w:tcW w:w="1181" w:type="dxa"/>
            <w:tcBorders/>
          </w:tcPr>
          <w:p>
            <w:pPr>
              <w:pStyle w:val="BodyText"/>
              <w:spacing w:before="0" w:after="220"/>
              <w:rPr>
                <w:u w:val="single"/>
              </w:rPr>
            </w:pPr>
            <w:r>
              <w:rPr>
                <w:u w:val="single"/>
              </w:rPr>
              <w:t>ACTT #</w:t>
            </w:r>
          </w:p>
        </w:tc>
        <w:tc>
          <w:tcPr>
            <w:tcW w:w="6955" w:type="dxa"/>
            <w:tcBorders/>
          </w:tcPr>
          <w:p>
            <w:pPr>
              <w:pStyle w:val="BodyText"/>
              <w:spacing w:before="0" w:after="220"/>
              <w:rPr>
                <w:u w:val="single"/>
              </w:rPr>
            </w:pPr>
            <w:r>
              <w:rPr>
                <w:u w:val="single"/>
              </w:rPr>
              <w:t>Description</w:t>
            </w:r>
          </w:p>
        </w:tc>
      </w:tr>
      <w:tr>
        <w:trPr/>
        <w:tc>
          <w:tcPr>
            <w:tcW w:w="1181" w:type="dxa"/>
            <w:tcBorders/>
          </w:tcPr>
          <w:p>
            <w:pPr>
              <w:pStyle w:val="BodyText"/>
              <w:spacing w:lineRule="atLeast" w:line="220" w:before="0" w:after="220"/>
              <w:jc w:val="both"/>
              <w:rPr/>
            </w:pPr>
            <w:r>
              <w:rPr/>
              <w:t>CN-SPEC</w:t>
            </w:r>
          </w:p>
        </w:tc>
        <w:tc>
          <w:tcPr>
            <w:tcW w:w="6955" w:type="dxa"/>
            <w:tcBorders/>
          </w:tcPr>
          <w:p>
            <w:pPr>
              <w:pStyle w:val="BodyText"/>
              <w:spacing w:lineRule="atLeast" w:line="0" w:before="0" w:after="0"/>
              <w:ind w:hanging="158" w:start="158" w:end="0"/>
              <w:jc w:val="start"/>
              <w:rPr>
                <w:b/>
                <w:bCs/>
              </w:rPr>
            </w:pPr>
            <w:r>
              <w:rPr>
                <w:b/>
                <w:bCs/>
              </w:rPr>
              <w:t>Compression Equipment Enhancement Analysis</w:t>
            </w:r>
          </w:p>
          <w:p>
            <w:pPr>
              <w:pStyle w:val="BodyText"/>
              <w:spacing w:lineRule="atLeast" w:line="0" w:before="0" w:after="0"/>
              <w:jc w:val="start"/>
              <w:rPr>
                <w:i/>
                <w:i/>
                <w:iCs/>
              </w:rPr>
            </w:pPr>
            <w:r>
              <w:rPr>
                <w:i/>
                <w:iCs/>
              </w:rPr>
              <w:br/>
              <w:t xml:space="preserve">ACTT will provide a detailed technical report analyzing and recommending enhancement opportunities for at four facilities in the Transwestern Atoka System in New Mexico.  </w:t>
            </w:r>
          </w:p>
          <w:p>
            <w:pPr>
              <w:pStyle w:val="BodyText"/>
              <w:spacing w:lineRule="atLeast" w:line="0" w:before="0" w:after="0"/>
              <w:jc w:val="start"/>
              <w:rPr>
                <w:i/>
                <w:i/>
                <w:iCs/>
              </w:rPr>
            </w:pPr>
            <w:r>
              <w:rPr>
                <w:i/>
                <w:iCs/>
              </w:rPr>
            </w:r>
          </w:p>
          <w:p>
            <w:pPr>
              <w:pStyle w:val="BodyText"/>
              <w:spacing w:lineRule="atLeast" w:line="0" w:before="0" w:after="0"/>
              <w:jc w:val="start"/>
              <w:rPr>
                <w:i/>
                <w:i/>
                <w:iCs/>
              </w:rPr>
            </w:pPr>
            <w:r>
              <w:rPr>
                <w:i/>
                <w:iCs/>
              </w:rPr>
              <w:t>The project will include on-site equipment evaluation of each engine/compressor set and a focused evaluation in four distinct areas:</w:t>
            </w:r>
          </w:p>
          <w:p>
            <w:pPr>
              <w:pStyle w:val="BodyText"/>
              <w:spacing w:lineRule="atLeast" w:line="0" w:before="0" w:after="0"/>
              <w:jc w:val="start"/>
              <w:rPr>
                <w:i/>
                <w:i/>
                <w:iCs/>
              </w:rPr>
            </w:pPr>
            <w:r>
              <w:rPr>
                <w:i/>
                <w:iCs/>
              </w:rPr>
            </w:r>
          </w:p>
          <w:p>
            <w:pPr>
              <w:pStyle w:val="BodyText"/>
              <w:numPr>
                <w:ilvl w:val="0"/>
                <w:numId w:val="2"/>
              </w:numPr>
              <w:spacing w:lineRule="atLeast" w:line="0" w:before="0" w:after="0"/>
              <w:jc w:val="start"/>
              <w:rPr>
                <w:i/>
                <w:i/>
                <w:iCs/>
              </w:rPr>
            </w:pPr>
            <w:r>
              <w:rPr>
                <w:i/>
                <w:iCs/>
              </w:rPr>
              <w:t>Horsepower Enhancement (The potential for ambient rating the engines, i.e., controls evaluation (hardware and software), the need turbocharger enhancements, and a evaluation ignition capabilities).</w:t>
            </w:r>
          </w:p>
          <w:p>
            <w:pPr>
              <w:pStyle w:val="BodyText"/>
              <w:numPr>
                <w:ilvl w:val="0"/>
                <w:numId w:val="2"/>
              </w:numPr>
              <w:spacing w:lineRule="atLeast" w:line="0" w:before="0" w:after="0"/>
              <w:jc w:val="start"/>
              <w:rPr>
                <w:i/>
                <w:i/>
                <w:iCs/>
              </w:rPr>
            </w:pPr>
            <w:r>
              <w:rPr>
                <w:i/>
                <w:iCs/>
              </w:rPr>
              <w:t>Throughput Enhancement (Can we enhance throughput by making the compressors more efficient).</w:t>
            </w:r>
          </w:p>
          <w:p>
            <w:pPr>
              <w:pStyle w:val="BodyText"/>
              <w:numPr>
                <w:ilvl w:val="0"/>
                <w:numId w:val="2"/>
              </w:numPr>
              <w:spacing w:lineRule="atLeast" w:line="0" w:before="0" w:after="0"/>
              <w:jc w:val="start"/>
              <w:rPr>
                <w:i/>
                <w:i/>
                <w:iCs/>
              </w:rPr>
            </w:pPr>
            <w:r>
              <w:rPr>
                <w:i/>
                <w:iCs/>
              </w:rPr>
              <w:t>Engine Efficiency Opportunities (Fuel Efficiency, O&amp;M Reductions).</w:t>
            </w:r>
          </w:p>
          <w:p>
            <w:pPr>
              <w:pStyle w:val="BodyText"/>
              <w:spacing w:lineRule="atLeast" w:line="0" w:before="0" w:after="0"/>
              <w:jc w:val="start"/>
              <w:rPr>
                <w:i/>
                <w:i/>
                <w:iCs/>
              </w:rPr>
            </w:pPr>
            <w:r>
              <w:rPr>
                <w:i/>
                <w:iCs/>
              </w:rPr>
            </w:r>
          </w:p>
          <w:p>
            <w:pPr>
              <w:pStyle w:val="BodyText"/>
              <w:spacing w:lineRule="atLeast" w:line="0" w:before="0" w:after="0"/>
              <w:jc w:val="start"/>
              <w:rPr>
                <w:i/>
                <w:i/>
                <w:iCs/>
              </w:rPr>
            </w:pPr>
            <w:r>
              <w:rPr>
                <w:i/>
                <w:iCs/>
              </w:rPr>
              <w:t>Enhancement opportunities for each piece of engine/compressor set will include a description of recommended enhancements, various alternatives available and a financial analysis of estimated expenses and potential payback.</w:t>
            </w:r>
          </w:p>
          <w:p>
            <w:pPr>
              <w:pStyle w:val="BodyText"/>
              <w:spacing w:lineRule="atLeast" w:line="0" w:before="0" w:after="0"/>
              <w:jc w:val="start"/>
              <w:rPr>
                <w:i/>
                <w:i/>
                <w:iCs/>
              </w:rPr>
            </w:pPr>
            <w:r>
              <w:rPr>
                <w:i/>
                <w:iCs/>
              </w:rPr>
            </w:r>
          </w:p>
          <w:p>
            <w:pPr>
              <w:pStyle w:val="BodyText"/>
              <w:spacing w:lineRule="atLeast" w:line="0" w:before="0" w:after="0"/>
              <w:jc w:val="start"/>
              <w:rPr>
                <w:b/>
                <w:bCs/>
                <w:i/>
                <w:i/>
                <w:iCs/>
              </w:rPr>
            </w:pPr>
            <w:r>
              <w:rPr>
                <w:i/>
                <w:iCs/>
              </w:rPr>
              <w:t xml:space="preserve">The project will include a field visit by one or two ACTT consultants on mutually acceptable dates.  </w:t>
            </w:r>
            <w:r>
              <w:rPr/>
              <w:t xml:space="preserve">Following the field visit, technical analysis and research will be conducted and a </w:t>
            </w:r>
            <w:r>
              <w:rPr>
                <w:u w:val="single"/>
              </w:rPr>
              <w:t>final report will be completed within four weeks of the field visit</w:t>
            </w:r>
            <w:r>
              <w:rPr/>
              <w:t xml:space="preserve">. </w:t>
            </w:r>
          </w:p>
          <w:p>
            <w:pPr>
              <w:pStyle w:val="BodyText"/>
              <w:spacing w:lineRule="atLeast" w:line="0" w:before="0" w:after="0"/>
              <w:ind w:firstLine="720" w:end="0"/>
              <w:jc w:val="start"/>
              <w:rPr>
                <w:b/>
                <w:bCs/>
                <w:i/>
                <w:i/>
                <w:iCs/>
              </w:rPr>
            </w:pPr>
            <w:r>
              <w:rPr>
                <w:b/>
                <w:bCs/>
                <w:i/>
                <w:iCs/>
              </w:rPr>
            </w:r>
          </w:p>
        </w:tc>
      </w:tr>
      <w:tr>
        <w:trPr/>
        <w:tc>
          <w:tcPr>
            <w:tcW w:w="8136" w:type="dxa"/>
            <w:gridSpan w:val="2"/>
            <w:tcBorders/>
          </w:tcPr>
          <w:p>
            <w:pPr>
              <w:pStyle w:val="BodyText"/>
              <w:jc w:val="start"/>
              <w:rPr/>
            </w:pPr>
            <w:r>
              <w:rPr>
                <w:b/>
                <w:bCs/>
              </w:rPr>
              <w:t>Fees:</w:t>
            </w:r>
            <w:r>
              <w:rPr/>
              <w:t xml:space="preserve">  </w:t>
            </w:r>
          </w:p>
          <w:p>
            <w:pPr>
              <w:pStyle w:val="BodyText"/>
              <w:numPr>
                <w:ilvl w:val="0"/>
                <w:numId w:val="3"/>
              </w:numPr>
              <w:spacing w:lineRule="atLeast" w:line="0" w:before="60" w:after="60"/>
              <w:rPr/>
            </w:pPr>
            <w:r>
              <w:rPr/>
              <w:t>Consulting services are billed at $102/hour plus travel and direct expenses.  Travel time is billed to and from field locations.</w:t>
            </w:r>
          </w:p>
          <w:p>
            <w:pPr>
              <w:pStyle w:val="BodyText"/>
              <w:numPr>
                <w:ilvl w:val="0"/>
                <w:numId w:val="3"/>
              </w:numPr>
              <w:spacing w:lineRule="atLeast" w:line="0" w:before="60" w:after="60"/>
              <w:rPr/>
            </w:pPr>
            <w:r>
              <w:rPr/>
              <w:t xml:space="preserve">Travel and direct expenses may include airfare, rental car, $35 meal per diem, printing, and miscellaneous expenses (tolls, parking, rental car fuel, and mileage at $0.35 per mile).  </w:t>
            </w:r>
            <w:r>
              <w:rPr>
                <w:i/>
                <w:iCs/>
              </w:rPr>
              <w:t>No administrative surcharge is added</w:t>
            </w:r>
            <w:r>
              <w:rPr/>
              <w:t>.</w:t>
            </w:r>
          </w:p>
          <w:p>
            <w:pPr>
              <w:pStyle w:val="BodyText"/>
              <w:numPr>
                <w:ilvl w:val="0"/>
                <w:numId w:val="3"/>
              </w:numPr>
              <w:spacing w:lineRule="atLeast" w:line="0" w:before="60" w:after="60"/>
              <w:rPr/>
            </w:pPr>
            <w:r>
              <w:rPr/>
              <w:t>Estimated Billable: approximately 160 man-hours (includes 80 man-hours of field analysis and observation) + Travel expenses for two consultants for 4 days (~$3,000).  Note:  The TW analysis required 145 man-hours to complete.</w:t>
            </w:r>
          </w:p>
          <w:p>
            <w:pPr>
              <w:pStyle w:val="BodyText"/>
              <w:numPr>
                <w:ilvl w:val="0"/>
                <w:numId w:val="3"/>
              </w:numPr>
              <w:spacing w:lineRule="atLeast" w:line="0" w:before="60" w:after="60"/>
              <w:rPr/>
            </w:pPr>
            <w:r>
              <w:rPr/>
              <w:t>All services will be provided under the existing terms and conditions detailed in 00-EOSC-GSMA-2138 signed by Barney L. Brash on 7/12/01.</w:t>
            </w:r>
          </w:p>
          <w:p>
            <w:pPr>
              <w:pStyle w:val="BodyText"/>
              <w:spacing w:before="0" w:after="220"/>
              <w:jc w:val="start"/>
              <w:rPr>
                <w:b/>
                <w:bCs/>
              </w:rPr>
            </w:pPr>
            <w:r>
              <w:rPr>
                <w:b/>
                <w:bCs/>
              </w:rPr>
            </w:r>
          </w:p>
        </w:tc>
      </w:tr>
      <w:tr>
        <w:trPr/>
        <w:tc>
          <w:tcPr>
            <w:tcW w:w="8136" w:type="dxa"/>
            <w:gridSpan w:val="2"/>
            <w:tcBorders/>
          </w:tcPr>
          <w:p>
            <w:pPr>
              <w:pStyle w:val="BodyText"/>
              <w:jc w:val="start"/>
              <w:rPr/>
            </w:pPr>
            <w:r>
              <w:rPr>
                <w:b/>
                <w:bCs/>
              </w:rPr>
              <w:t>Availability:</w:t>
            </w:r>
            <w:r>
              <w:rPr/>
              <w:t xml:space="preserve">  </w:t>
            </w:r>
          </w:p>
          <w:p>
            <w:pPr>
              <w:pStyle w:val="BodyText"/>
              <w:jc w:val="start"/>
              <w:rPr/>
            </w:pPr>
            <w:r>
              <w:rPr/>
              <w:t xml:space="preserve">ACTT’s technical consulting personnel are currently available to conduct the four-facility site visit during the following dates.  </w:t>
            </w:r>
          </w:p>
          <w:p>
            <w:pPr>
              <w:pStyle w:val="BodyText"/>
              <w:jc w:val="start"/>
              <w:rPr/>
            </w:pPr>
            <w:r>
              <w:rPr/>
              <w:t>April 9-12, 2001</w:t>
            </w:r>
          </w:p>
          <w:p>
            <w:pPr>
              <w:pStyle w:val="BodyText"/>
              <w:jc w:val="start"/>
              <w:rPr/>
            </w:pPr>
            <w:r>
              <w:rPr/>
              <w:t>July 16-20, 2001</w:t>
            </w:r>
          </w:p>
          <w:p>
            <w:pPr>
              <w:pStyle w:val="BodyText"/>
              <w:jc w:val="start"/>
              <w:rPr/>
            </w:pPr>
            <w:r>
              <w:rPr/>
              <w:t>September 4-7, 2001</w:t>
            </w:r>
          </w:p>
          <w:p>
            <w:pPr>
              <w:pStyle w:val="BodyText"/>
              <w:spacing w:before="0" w:after="220"/>
              <w:jc w:val="start"/>
              <w:rPr>
                <w:i/>
                <w:i/>
                <w:iCs/>
              </w:rPr>
            </w:pPr>
            <w:r>
              <w:rPr>
                <w:i/>
                <w:iCs/>
              </w:rPr>
              <w:t>Note:  Availability and selection of on-site dates is determined on a first come, first serve basis.</w:t>
            </w:r>
          </w:p>
        </w:tc>
      </w:tr>
    </w:tbl>
    <w:p>
      <w:pPr>
        <w:pStyle w:val="BodyText"/>
        <w:rPr/>
      </w:pPr>
      <w:r>
        <w:rPr/>
        <w:t>We appreciate the opportunity to submit our quotation and will be pleased to answer any question you may have.  We would like to have your order and will call you soon to discuss.</w:t>
      </w:r>
    </w:p>
    <w:p>
      <w:pPr>
        <w:pStyle w:val="Closing"/>
        <w:rPr/>
      </w:pPr>
      <w:r>
        <w:fldChar w:fldCharType="begin"/>
      </w:r>
      <w:r>
        <w:rPr/>
        <w:instrText xml:space="preserve"> AUTOTEXTLIST  </w:instrText>
      </w:r>
      <w:r>
        <w:rPr/>
      </w:r>
      <w:r>
        <w:rPr/>
        <w:fldChar w:fldCharType="separate"/>
      </w:r>
      <w:r>
        <w:rPr/>
        <w:t>Sincerely,</w:t>
      </w:r>
      <w:r>
        <w:rPr/>
      </w:r>
      <w:r>
        <w:rPr/>
        <w:fldChar w:fldCharType="end"/>
      </w:r>
      <w:r>
        <w:rPr/>
        <w:br/>
        <w:br/>
        <w:t>ANDERSON CONSULTING, TRAINING &amp; TESTING</w:t>
      </w:r>
    </w:p>
    <w:p>
      <w:pPr>
        <w:pStyle w:val="Closing"/>
        <w:rPr/>
      </w:pPr>
      <w:r>
        <w:rPr/>
      </w:r>
    </w:p>
    <w:p>
      <w:pPr>
        <w:pStyle w:val="Closing"/>
        <w:rPr/>
      </w:pPr>
      <w:r>
        <w:rPr/>
      </w:r>
    </w:p>
    <w:p>
      <w:pPr>
        <w:pStyle w:val="Closing"/>
        <w:rPr/>
      </w:pPr>
      <w:r>
        <w:rPr/>
      </w:r>
    </w:p>
    <w:p>
      <w:pPr>
        <w:pStyle w:val="Closing"/>
        <w:rPr/>
      </w:pPr>
      <w:r>
        <w:rPr/>
        <w:t>Charles G. Ely II, PE</w:t>
      </w:r>
    </w:p>
    <w:p>
      <w:pPr>
        <w:pStyle w:val="SignatureJobTitle"/>
        <w:rPr/>
      </w:pPr>
      <w:r>
        <w:rPr/>
        <w:t>Vice-President, ACTT Division</w:t>
      </w:r>
    </w:p>
    <w:p>
      <w:pPr>
        <w:pStyle w:val="SignatureCompany"/>
        <w:rPr/>
      </w:pPr>
      <w:r>
        <w:rPr/>
      </w:r>
    </w:p>
    <w:p>
      <w:pPr>
        <w:pStyle w:val="ReferenceInitials"/>
        <w:rPr/>
      </w:pPr>
      <w:r>
        <w:rPr/>
        <w:t>Enclosure:  ACTT Brochures / Hard Hat Stickers</w:t>
      </w:r>
    </w:p>
    <w:sectPr>
      <w:headerReference w:type="default" r:id="rId2"/>
      <w:headerReference w:type="first" r:id="rId3"/>
      <w:type w:val="nextPage"/>
      <w:pgSz w:w="12240" w:h="15840"/>
      <w:pgMar w:left="1800" w:right="1800" w:gutter="0" w:header="96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Page </w:t>
    </w:r>
    <w:r>
      <w:rPr/>
      <w:fldChar w:fldCharType="begin"/>
    </w:r>
    <w:r>
      <w:rPr/>
      <w:instrText xml:space="preserve"> PAGE \* ARABIC </w:instrText>
    </w:r>
    <w:r>
      <w:rPr/>
      <w:fldChar w:fldCharType="separate"/>
    </w:r>
    <w:r>
      <w:rPr/>
      <w:t>2</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400"/>
      <w:numFmt w:val="bullet"/>
      <w:lvlText w:val=""/>
      <w:lvlJc w:val="start"/>
      <w:pPr>
        <w:tabs>
          <w:tab w:val="num" w:pos="432"/>
        </w:tabs>
        <w:ind w:start="432"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rFonts w:ascii="Arial" w:hAnsi="Arial" w:cs="Arial"/>
      <w:spacing w:val="-5"/>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jc w:val="both"/>
    </w:pPr>
    <w:rPr>
      <w:rFonts w:ascii="Arial Black" w:hAnsi="Arial Black" w:cs="Arial Black"/>
      <w:spacing w:val="-10"/>
      <w:kern w:val="2"/>
    </w:rPr>
  </w:style>
  <w:style w:type="paragraph" w:styleId="AttentionLine">
    <w:name w:val="Attention Line"/>
    <w:basedOn w:val="Normal"/>
    <w:next w:val="Salutation"/>
    <w:qFormat/>
    <w:pPr>
      <w:spacing w:lineRule="atLeast" w:line="220" w:before="220" w:after="220"/>
    </w:pPr>
    <w:rPr>
      <w:rFonts w:ascii="Arial" w:hAnsi="Arial" w:cs="Arial"/>
      <w:spacing w:val="-5"/>
    </w:rPr>
  </w:style>
  <w:style w:type="paragraph" w:styleId="Salutation">
    <w:name w:val="Salutation"/>
    <w:basedOn w:val="Normal"/>
    <w:next w:val="SubjectLine"/>
    <w:qFormat/>
    <w:pPr>
      <w:spacing w:lineRule="atLeast" w:line="220" w:before="220" w:after="220"/>
      <w:jc w:val="start"/>
    </w:pPr>
    <w:rPr/>
  </w:style>
  <w:style w:type="paragraph" w:styleId="CcList">
    <w:name w:val="Cc List"/>
    <w:basedOn w:val="Normal"/>
    <w:qFormat/>
    <w:pPr>
      <w:keepLines/>
      <w:spacing w:lineRule="atLeast" w:line="220"/>
      <w:ind w:hanging="360" w:start="360" w:end="0"/>
    </w:pPr>
    <w:rPr>
      <w:rFonts w:ascii="Arial" w:hAnsi="Arial" w:cs="Arial"/>
      <w:spacing w:val="-5"/>
    </w:rPr>
  </w:style>
  <w:style w:type="paragraph" w:styleId="Closing">
    <w:name w:val="Closing"/>
    <w:basedOn w:val="Normal"/>
    <w:next w:val="Signature"/>
    <w:qFormat/>
    <w:pPr>
      <w:keepNext w:val="true"/>
      <w:spacing w:lineRule="atLeast" w:line="220" w:before="0" w:after="60"/>
    </w:pPr>
    <w:rPr>
      <w:rFonts w:ascii="Arial" w:hAnsi="Arial" w:cs="Arial"/>
      <w:spacing w:val="-5"/>
    </w:rPr>
  </w:style>
  <w:style w:type="paragraph" w:styleId="Signature">
    <w:name w:val="Signature"/>
    <w:basedOn w:val="Normal"/>
    <w:next w:val="SignatureJobTitle"/>
    <w:pPr>
      <w:keepNext w:val="true"/>
      <w:spacing w:lineRule="atLeast" w:line="220" w:before="880" w:after="0"/>
      <w:jc w:val="start"/>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Date">
    <w:name w:val="Date"/>
    <w:basedOn w:val="Normal"/>
    <w:next w:val="InsideAddressName"/>
    <w:qFormat/>
    <w:pPr>
      <w:spacing w:lineRule="atLeast" w:line="220" w:before="0" w:after="220"/>
    </w:pPr>
    <w:rPr>
      <w:rFonts w:ascii="Arial" w:hAnsi="Arial" w:cs="Arial"/>
      <w:spacing w:val="-5"/>
    </w:rPr>
  </w:style>
  <w:style w:type="paragraph" w:styleId="Enclosure">
    <w:name w:val="Enclosure"/>
    <w:basedOn w:val="Normal"/>
    <w:next w:val="CcList"/>
    <w:qFormat/>
    <w:pPr>
      <w:keepNext w:val="true"/>
      <w:keepLines/>
      <w:spacing w:lineRule="atLeast" w:line="220" w:before="0" w:after="220"/>
    </w:pPr>
    <w:rPr>
      <w:rFonts w:ascii="Arial" w:hAnsi="Arial" w:cs="Arial"/>
      <w:spacing w:val="-5"/>
    </w:rPr>
  </w:style>
  <w:style w:type="paragraph" w:styleId="InsideAddress">
    <w:name w:val="Inside Address"/>
    <w:basedOn w:val="Normal"/>
    <w:qFormat/>
    <w:pPr>
      <w:spacing w:lineRule="atLeast" w:line="220"/>
    </w:pPr>
    <w:rPr>
      <w:rFonts w:ascii="Arial" w:hAnsi="Arial" w:cs="Arial"/>
      <w:spacing w:val="-5"/>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spacing w:lineRule="atLeast" w:line="220" w:before="0" w:after="220"/>
    </w:pPr>
    <w:rPr>
      <w:rFonts w:ascii="Arial" w:hAnsi="Arial" w:cs="Arial"/>
      <w:caps/>
      <w:spacing w:val="-5"/>
    </w:rPr>
  </w:style>
  <w:style w:type="paragraph" w:styleId="ReferenceInitials">
    <w:name w:val="Reference Initials"/>
    <w:basedOn w:val="Normal"/>
    <w:next w:val="Enclosure"/>
    <w:qFormat/>
    <w:pPr>
      <w:keepNext w:val="true"/>
      <w:keepLines/>
      <w:spacing w:lineRule="atLeast" w:line="220"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4"/>
      </w:numPr>
    </w:pPr>
    <w:rPr/>
  </w:style>
  <w:style w:type="paragraph" w:styleId="ListNumber">
    <w:name w:val="List Number"/>
    <w:basedOn w:val="BodyText"/>
    <w:qFormat/>
    <w:pPr>
      <w:numPr>
        <w:ilvl w:val="0"/>
        <w:numId w:val="5"/>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ACTT Letterhead.dot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2001-01-25T10:57:00Z</dcterms:created>
  <dc:creator>Charles Ely</dc:creator>
  <dc:description/>
  <dc:language>en-CA</dc:language>
  <cp:lastModifiedBy>Charles Ely</cp:lastModifiedBy>
  <cp:lastPrinted>2001-01-25T11:04:00Z</cp:lastPrinted>
  <dcterms:modified xsi:type="dcterms:W3CDTF">2001-01-25T14:37:00Z</dcterms:modified>
  <cp:revision>5</cp:revision>
  <dc:subject/>
  <dc:title>Professional Letter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