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both"/>
        <w:rPr>
          <w:b/>
          <w:bCs/>
          <w:sz w:val="22"/>
        </w:rPr>
      </w:pPr>
      <w:r>
        <w:rPr>
          <w:b/>
          <w:bCs/>
          <w:sz w:val="22"/>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xml:space="preserve">") is made and entered into effective as of October 25, 2001 by and among </w:t>
      </w:r>
      <w:r>
        <w:rPr>
          <w:bCs/>
          <w:sz w:val="22"/>
        </w:rPr>
        <w:t>Entergy-Koch Trading, LP ("EKT"),</w:t>
      </w:r>
      <w:r>
        <w:rPr>
          <w:sz w:val="22"/>
        </w:rPr>
        <w:t xml:space="preserve"> Enron North America Corp. ("</w:t>
      </w:r>
      <w:r>
        <w:rPr>
          <w:sz w:val="22"/>
          <w:u w:val="single"/>
        </w:rPr>
        <w:t>ENA</w:t>
      </w:r>
      <w:r>
        <w:rPr>
          <w:sz w:val="22"/>
        </w:rPr>
        <w:t>") and Enron Power Marketing, Inc. ("</w:t>
      </w:r>
      <w:r>
        <w:rPr>
          <w:sz w:val="22"/>
          <w:u w:val="single"/>
        </w:rPr>
        <w:t>EPMI</w:t>
      </w:r>
      <w:r>
        <w:rPr>
          <w:sz w:val="22"/>
        </w:rPr>
        <w:t>").</w:t>
      </w:r>
    </w:p>
    <w:p>
      <w:pPr>
        <w:pStyle w:val="Normal"/>
        <w:jc w:val="both"/>
        <w:rPr>
          <w:sz w:val="22"/>
        </w:rPr>
      </w:pPr>
      <w:r>
        <w:rPr>
          <w:sz w:val="22"/>
        </w:rPr>
      </w:r>
    </w:p>
    <w:p>
      <w:pPr>
        <w:pStyle w:val="OmniPage3"/>
        <w:tabs>
          <w:tab w:val="clear" w:pos="720"/>
          <w:tab w:val="right" w:pos="5656" w:leader="none"/>
        </w:tabs>
        <w:jc w:val="center"/>
        <w:rPr>
          <w:b/>
          <w:sz w:val="22"/>
        </w:rPr>
      </w:pPr>
      <w:r>
        <w:rPr>
          <w:b/>
          <w:sz w:val="22"/>
        </w:rPr>
        <w:t>RECITALS</w:t>
      </w:r>
    </w:p>
    <w:p>
      <w:pPr>
        <w:pStyle w:val="Normal"/>
        <w:jc w:val="both"/>
        <w:rPr>
          <w:b/>
          <w:sz w:val="22"/>
        </w:rPr>
      </w:pPr>
      <w:r>
        <w:rPr>
          <w:b/>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Cs/>
          <w:sz w:val="22"/>
        </w:rPr>
        <w:t xml:space="preserve">EKT </w:t>
      </w:r>
      <w:r>
        <w:rPr>
          <w:sz w:val="22"/>
        </w:rPr>
        <w:t>have entered into that certain ISDA Master Agreement dated effective as of February 1, 2001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Cs/>
          <w:sz w:val="22"/>
        </w:rPr>
        <w:t>EKT</w:t>
      </w:r>
      <w:r>
        <w:rPr>
          <w:sz w:val="22"/>
        </w:rPr>
        <w:t xml:space="preserve"> have entered into that certain </w:t>
      </w:r>
      <w:r>
        <w:rPr>
          <w:bCs/>
          <w:sz w:val="22"/>
        </w:rPr>
        <w:t>ENFOLIO Master Firm Purchase/Sale Agreement, dated as of January 1, 2000, that certain ENFOLIO Master "Spot" Purchase/Sale Agreement, dated April 1, 2000, and that certain Gas Industry Standards Board, Inc. Base Contract for Short-Term Sale and Purchase of Natural Gas,</w:t>
      </w:r>
      <w:r>
        <w:rPr>
          <w:sz w:val="22"/>
        </w:rPr>
        <w:t xml:space="preserve"> dated May 2, 2000 (collectively,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Cs/>
          <w:sz w:val="22"/>
        </w:rPr>
        <w:t xml:space="preserve">EKT </w:t>
      </w:r>
      <w:r>
        <w:rPr>
          <w:sz w:val="22"/>
        </w:rPr>
        <w:t xml:space="preserve">have entered into that certain </w:t>
      </w:r>
      <w:r>
        <w:rPr>
          <w:bCs/>
          <w:sz w:val="22"/>
        </w:rPr>
        <w:t>Master Energy Purchase and Sale Agreement</w:t>
      </w:r>
      <w:r>
        <w:rPr>
          <w:sz w:val="22"/>
        </w:rPr>
        <w:t xml:space="preserve"> dated as of October 23, 2000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Financial Master Agreement, the Physical Gas Master Agreement, and the Physical Power Master Agreement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sz w:val="22"/>
        </w:rPr>
        <w:t>EPMI, ENA and EKT each acknowledge it is a "forward contract merchant" within the meaning of the United States Bankruptcy Code.</w:t>
      </w:r>
    </w:p>
    <w:p>
      <w:pPr>
        <w:pStyle w:val="Normal"/>
        <w:jc w:val="both"/>
        <w:rPr>
          <w:sz w:val="22"/>
        </w:rPr>
      </w:pPr>
      <w:r>
        <w:rPr>
          <w:sz w:val="22"/>
        </w:rPr>
      </w:r>
    </w:p>
    <w:p>
      <w:pPr>
        <w:pStyle w:val="Normal"/>
        <w:jc w:val="both"/>
        <w:rPr>
          <w:sz w:val="22"/>
        </w:rPr>
      </w:pPr>
      <w:r>
        <w:rPr>
          <w:sz w:val="22"/>
        </w:rPr>
        <w:t>Each Enron Party desires now to provide in this Agreement for its right to terminate, liquidate, net, setoff, and apply Collateral upon a Default by, and prior to Default determine the Collateral requirements of, any Counterparty Party under any one or more of the Underlying Master Agreements as herein specified, including, without limitation, by permitting each Enron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the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 and prior to Default determine the Collateral requirements of, any Enron Party under any one or more of the Underlying Master Agreements as herein specified, including, without limitation, by permitting each Counterparty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w:t>
      </w:r>
      <w:r>
        <w:br w:type="page"/>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Normal"/>
        <w:ind w:firstLine="720" w:end="0"/>
        <w:jc w:val="both"/>
        <w:rPr/>
      </w:pPr>
      <w:r>
        <w:rPr>
          <w:sz w:val="22"/>
        </w:rPr>
        <w:t>"</w:t>
      </w:r>
      <w:r>
        <w:rPr>
          <w:sz w:val="22"/>
          <w:u w:val="single"/>
        </w:rPr>
        <w:t>Collateral Administrator</w:t>
      </w:r>
      <w:r>
        <w:rPr>
          <w:sz w:val="22"/>
        </w:rPr>
        <w:t>" means the Party designated in the Collateral Annex to administer the Collateral for each Group in accordance with the Collateral Annex.</w:t>
      </w:r>
    </w:p>
    <w:p>
      <w:pPr>
        <w:pStyle w:val="OmniPage2"/>
        <w:ind w:firstLine="720" w:end="0"/>
        <w:jc w:val="both"/>
        <w:rPr>
          <w:sz w:val="22"/>
        </w:rPr>
      </w:pPr>
      <w:r>
        <w:rPr>
          <w:sz w:val="22"/>
        </w:rPr>
      </w:r>
    </w:p>
    <w:p>
      <w:pPr>
        <w:pStyle w:val="OmniPage2"/>
        <w:ind w:firstLine="720" w:end="0"/>
        <w:jc w:val="both"/>
        <w:rPr/>
      </w:pPr>
      <w:r>
        <w:rPr>
          <w:sz w:val="22"/>
          <w:u w:val="single"/>
        </w:rPr>
        <w:t>"Collateral Annex</w:t>
      </w:r>
      <w:r>
        <w:rPr>
          <w:sz w:val="22"/>
        </w:rPr>
        <w:t>" means the Collateral Annex attached hereto as Annex A and made a part of this Agreement.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b/>
          <w:bCs/>
          <w:sz w:val="22"/>
        </w:rPr>
      </w:pPr>
      <w:r>
        <w:rPr>
          <w:sz w:val="22"/>
        </w:rPr>
        <w:t>"</w:t>
      </w:r>
      <w:r>
        <w:rPr>
          <w:sz w:val="22"/>
          <w:u w:val="single"/>
        </w:rPr>
        <w:t>Counterparty Group Guaranty Agreement</w:t>
      </w:r>
      <w:r>
        <w:rPr>
          <w:sz w:val="22"/>
        </w:rPr>
        <w:t>" means, collectively, the guaranty agreements previously delivered to any member of Enron Group pursuant to any of the Underlying Master Agreements and which have not heretofore been terminated.</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means EKT.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Drawing Event</w:t>
      </w:r>
      <w:r>
        <w:rPr>
          <w:sz w:val="22"/>
        </w:rPr>
        <w:t>" has the meaning set forth in Section 6.</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sz w:val="22"/>
          <w:u w:val="single"/>
        </w:rPr>
      </w:pPr>
      <w:r>
        <w:rPr>
          <w:sz w:val="22"/>
        </w:rPr>
        <w:t>"</w:t>
      </w:r>
      <w:r>
        <w:rPr>
          <w:sz w:val="22"/>
          <w:u w:val="single"/>
        </w:rPr>
        <w:t>Enron Group Guaranty Agreement</w:t>
      </w:r>
      <w:r>
        <w:rPr>
          <w:sz w:val="22"/>
        </w:rPr>
        <w:t>" means, collectively, the guaranty agreements previously delivered to any member of Counterparty Group pursuant to any of the Underlying Master Agreements and which have not heretofore been terminated.</w:t>
      </w:r>
    </w:p>
    <w:p>
      <w:pPr>
        <w:pStyle w:val="OmniPage5"/>
        <w:ind w:firstLine="670" w:start="50" w:end="100"/>
        <w:jc w:val="both"/>
        <w:rPr>
          <w:sz w:val="22"/>
          <w:u w:val="single"/>
        </w:rPr>
      </w:pPr>
      <w:r>
        <w:rPr>
          <w:sz w:val="22"/>
          <w:u w:val="single"/>
        </w:rPr>
      </w:r>
    </w:p>
    <w:p>
      <w:pPr>
        <w:pStyle w:val="OmniPage5"/>
        <w:ind w:firstLine="670" w:start="50" w:end="100"/>
        <w:jc w:val="both"/>
        <w:rPr>
          <w:sz w:val="22"/>
          <w:u w:val="single"/>
        </w:rPr>
      </w:pPr>
      <w:r>
        <w:rPr>
          <w:sz w:val="22"/>
        </w:rPr>
        <w:t>"</w:t>
      </w:r>
      <w:r>
        <w:rPr>
          <w:sz w:val="22"/>
          <w:u w:val="single"/>
        </w:rPr>
        <w:t>Enron Party</w:t>
      </w:r>
      <w:r>
        <w:rPr>
          <w:sz w:val="22"/>
        </w:rPr>
        <w:t>" means any of ENA and EPMI.</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Exposure</w:t>
      </w:r>
      <w:r>
        <w:rPr>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jc w:val="both"/>
        <w:rPr>
          <w:sz w:val="22"/>
          <w:u w:val="single"/>
        </w:rPr>
      </w:pPr>
      <w:r>
        <w:rPr>
          <w:sz w:val="22"/>
          <w:u w:val="single"/>
        </w:rPr>
      </w:r>
    </w:p>
    <w:p>
      <w:pPr>
        <w:pStyle w:val="Normal"/>
        <w:ind w:firstLine="720" w:end="0"/>
        <w:jc w:val="both"/>
        <w:rPr/>
      </w:pPr>
      <w:r>
        <w:rPr>
          <w:sz w:val="22"/>
        </w:rPr>
        <w:t>"</w:t>
      </w:r>
      <w:r>
        <w:rPr>
          <w:sz w:val="22"/>
          <w:u w:val="single"/>
        </w:rPr>
        <w:t>Exposure Threshold</w:t>
      </w:r>
      <w:r>
        <w:rPr>
          <w:sz w:val="22"/>
        </w:rPr>
        <w:t>" means:</w:t>
      </w:r>
    </w:p>
    <w:p>
      <w:pPr>
        <w:pStyle w:val="Normal"/>
        <w:ind w:firstLine="720" w:end="0"/>
        <w:jc w:val="both"/>
        <w:rPr>
          <w:sz w:val="22"/>
        </w:rPr>
      </w:pPr>
      <w:r>
        <w:rPr>
          <w:sz w:val="22"/>
        </w:rPr>
      </w:r>
    </w:p>
    <w:p>
      <w:pPr>
        <w:pStyle w:val="Normal"/>
        <w:keepNext w:val="true"/>
        <w:tabs>
          <w:tab w:val="clear" w:pos="720"/>
          <w:tab w:val="left" w:pos="630" w:leader="none"/>
        </w:tabs>
        <w:jc w:val="both"/>
        <w:rPr>
          <w:color w:val="FF0000"/>
          <w:sz w:val="22"/>
          <w:szCs w:val="22"/>
        </w:rPr>
      </w:pPr>
      <w:r>
        <w:rPr>
          <w:color w:val="000000"/>
          <w:sz w:val="22"/>
          <w:szCs w:val="22"/>
        </w:rPr>
        <w:t>with respect to a party (a) the amount set forth opposite the lowest Credit Rating for, in the case of Counterparty Group, Entergy-Koch, LP, and in the case of Enron Group, Enron Corp., on the relevant date of determination; or (b) zero if on the relevant date of determination (i) the entity referred to in clause (a) above does not have a Credit Rating from either S&amp;P or Moody's, or (ii) an Event of Default with respect to such Group has occurred and is continuing:</w:t>
      </w:r>
    </w:p>
    <w:p>
      <w:pPr>
        <w:pStyle w:val="Normal"/>
        <w:keepNext w:val="true"/>
        <w:ind w:hanging="720" w:start="2160" w:end="0"/>
        <w:jc w:val="both"/>
        <w:rPr>
          <w:color w:val="FF0000"/>
          <w:sz w:val="22"/>
          <w:szCs w:val="22"/>
        </w:rPr>
      </w:pPr>
      <w:r>
        <w:rPr>
          <w:color w:val="FF0000"/>
          <w:sz w:val="22"/>
          <w:szCs w:val="22"/>
        </w:rPr>
      </w:r>
    </w:p>
    <w:tbl>
      <w:tblPr>
        <w:tblW w:w="8208" w:type="dxa"/>
        <w:jc w:val="start"/>
        <w:tblInd w:w="1368" w:type="dxa"/>
        <w:tblLayout w:type="fixed"/>
        <w:tblCellMar>
          <w:top w:w="0" w:type="dxa"/>
          <w:start w:w="108" w:type="dxa"/>
          <w:bottom w:w="0" w:type="dxa"/>
          <w:end w:w="108" w:type="dxa"/>
        </w:tblCellMar>
      </w:tblPr>
      <w:tblGrid>
        <w:gridCol w:w="2070"/>
        <w:gridCol w:w="2409"/>
        <w:gridCol w:w="1828"/>
        <w:gridCol w:w="1901"/>
      </w:tblGrid>
      <w:tr>
        <w:trPr/>
        <w:tc>
          <w:tcPr>
            <w:tcW w:w="2070" w:type="dxa"/>
            <w:tcBorders/>
          </w:tcPr>
          <w:p>
            <w:pPr>
              <w:pStyle w:val="Normal"/>
              <w:rPr/>
            </w:pPr>
            <w:r>
              <w:rPr>
                <w:color w:val="000000"/>
                <w:sz w:val="22"/>
              </w:rPr>
              <w:t xml:space="preserve"> </w:t>
            </w:r>
            <w:r>
              <w:rPr>
                <w:b/>
                <w:sz w:val="22"/>
                <w:u w:val="single"/>
              </w:rPr>
              <w:t>ENRON GROUP</w:t>
            </w:r>
          </w:p>
          <w:p>
            <w:pPr>
              <w:pStyle w:val="Normal"/>
              <w:rPr>
                <w:sz w:val="22"/>
              </w:rPr>
            </w:pPr>
            <w:r>
              <w:rPr>
                <w:b/>
                <w:sz w:val="22"/>
                <w:u w:val="single"/>
              </w:rPr>
              <w:t>THRESHOLD</w:t>
            </w:r>
          </w:p>
        </w:tc>
        <w:tc>
          <w:tcPr>
            <w:tcW w:w="2409" w:type="dxa"/>
            <w:tcBorders/>
          </w:tcPr>
          <w:p>
            <w:pPr>
              <w:pStyle w:val="Normal"/>
              <w:rPr>
                <w:b/>
                <w:sz w:val="22"/>
                <w:u w:val="single"/>
              </w:rPr>
            </w:pPr>
            <w:r>
              <w:rPr>
                <w:b/>
                <w:sz w:val="22"/>
                <w:u w:val="single"/>
              </w:rPr>
              <w:t>COUNTERPARTY GROUP</w:t>
            </w:r>
          </w:p>
          <w:p>
            <w:pPr>
              <w:pStyle w:val="Normal"/>
              <w:rPr>
                <w:b/>
                <w:sz w:val="22"/>
                <w:u w:val="single"/>
              </w:rPr>
            </w:pPr>
            <w:r>
              <w:rPr>
                <w:b/>
                <w:sz w:val="22"/>
                <w:u w:val="single"/>
              </w:rPr>
              <w:t>THRESHOLD</w:t>
            </w:r>
          </w:p>
        </w:tc>
        <w:tc>
          <w:tcPr>
            <w:tcW w:w="1828" w:type="dxa"/>
            <w:tcBorders/>
          </w:tcPr>
          <w:p>
            <w:pPr>
              <w:pStyle w:val="Normal"/>
              <w:rPr>
                <w:b/>
                <w:sz w:val="22"/>
                <w:u w:val="single"/>
              </w:rPr>
            </w:pPr>
            <w:r>
              <w:rPr>
                <w:b/>
                <w:sz w:val="22"/>
                <w:u w:val="single"/>
              </w:rPr>
              <w:t>S&amp;P CREDIT RATING</w:t>
            </w:r>
          </w:p>
          <w:p>
            <w:pPr>
              <w:pStyle w:val="Normal"/>
              <w:ind w:start="-18" w:end="0"/>
              <w:rPr>
                <w:b/>
                <w:sz w:val="22"/>
                <w:u w:val="single"/>
              </w:rPr>
            </w:pPr>
            <w:r>
              <w:rPr>
                <w:b/>
                <w:sz w:val="22"/>
                <w:u w:val="single"/>
              </w:rPr>
            </w:r>
          </w:p>
        </w:tc>
        <w:tc>
          <w:tcPr>
            <w:tcW w:w="1901" w:type="dxa"/>
            <w:tcBorders/>
          </w:tcPr>
          <w:p>
            <w:pPr>
              <w:pStyle w:val="Normal"/>
              <w:rPr>
                <w:b/>
                <w:sz w:val="22"/>
                <w:u w:val="single"/>
              </w:rPr>
            </w:pPr>
            <w:r>
              <w:rPr>
                <w:b/>
                <w:sz w:val="22"/>
                <w:u w:val="single"/>
              </w:rPr>
              <w:t>MOODY'S CREDIT RATING</w:t>
            </w:r>
          </w:p>
          <w:p>
            <w:pPr>
              <w:pStyle w:val="Normal"/>
              <w:rPr>
                <w:b/>
                <w:sz w:val="22"/>
                <w:u w:val="single"/>
              </w:rPr>
            </w:pPr>
            <w:r>
              <w:rPr>
                <w:b/>
                <w:sz w:val="22"/>
                <w:u w:val="single"/>
              </w:rPr>
            </w:r>
          </w:p>
        </w:tc>
      </w:tr>
      <w:tr>
        <w:trPr/>
        <w:tc>
          <w:tcPr>
            <w:tcW w:w="2070" w:type="dxa"/>
            <w:tcBorders/>
          </w:tcPr>
          <w:p>
            <w:pPr>
              <w:pStyle w:val="Normal"/>
              <w:rPr>
                <w:sz w:val="22"/>
              </w:rPr>
            </w:pPr>
            <w:r>
              <w:rPr>
                <w:sz w:val="22"/>
              </w:rPr>
              <w:t>U.S. $30,000,000</w:t>
            </w:r>
          </w:p>
        </w:tc>
        <w:tc>
          <w:tcPr>
            <w:tcW w:w="2409" w:type="dxa"/>
            <w:tcBorders/>
          </w:tcPr>
          <w:p>
            <w:pPr>
              <w:pStyle w:val="Normal"/>
              <w:rPr>
                <w:sz w:val="22"/>
              </w:rPr>
            </w:pPr>
            <w:r>
              <w:rPr>
                <w:sz w:val="22"/>
              </w:rPr>
              <w:t>U.S. $30,000,000</w:t>
            </w:r>
          </w:p>
        </w:tc>
        <w:tc>
          <w:tcPr>
            <w:tcW w:w="1828" w:type="dxa"/>
            <w:tcBorders/>
          </w:tcPr>
          <w:p>
            <w:pPr>
              <w:pStyle w:val="Normal"/>
              <w:ind w:start="-18" w:end="0"/>
              <w:rPr>
                <w:sz w:val="22"/>
              </w:rPr>
            </w:pPr>
            <w:r>
              <w:rPr>
                <w:sz w:val="22"/>
              </w:rPr>
              <w:t>BBB+ (or above)</w:t>
            </w:r>
          </w:p>
        </w:tc>
        <w:tc>
          <w:tcPr>
            <w:tcW w:w="1901" w:type="dxa"/>
            <w:tcBorders/>
          </w:tcPr>
          <w:p>
            <w:pPr>
              <w:pStyle w:val="Normal"/>
              <w:rPr>
                <w:sz w:val="22"/>
              </w:rPr>
            </w:pPr>
            <w:r>
              <w:rPr>
                <w:sz w:val="22"/>
              </w:rPr>
              <w:t>Baa1 (or above)</w:t>
            </w:r>
          </w:p>
        </w:tc>
      </w:tr>
      <w:tr>
        <w:trPr/>
        <w:tc>
          <w:tcPr>
            <w:tcW w:w="2070" w:type="dxa"/>
            <w:tcBorders/>
          </w:tcPr>
          <w:p>
            <w:pPr>
              <w:pStyle w:val="Normal"/>
              <w:rPr>
                <w:sz w:val="22"/>
              </w:rPr>
            </w:pPr>
            <w:r>
              <w:rPr>
                <w:sz w:val="22"/>
              </w:rPr>
              <w:t>U.S. $15,000,000</w:t>
            </w:r>
          </w:p>
        </w:tc>
        <w:tc>
          <w:tcPr>
            <w:tcW w:w="2409" w:type="dxa"/>
            <w:tcBorders/>
          </w:tcPr>
          <w:p>
            <w:pPr>
              <w:pStyle w:val="Normal"/>
              <w:rPr>
                <w:sz w:val="22"/>
              </w:rPr>
            </w:pPr>
            <w:r>
              <w:rPr>
                <w:sz w:val="22"/>
              </w:rPr>
              <w:t>U.S. $15,000,000</w:t>
            </w:r>
          </w:p>
        </w:tc>
        <w:tc>
          <w:tcPr>
            <w:tcW w:w="1828" w:type="dxa"/>
            <w:tcBorders/>
          </w:tcPr>
          <w:p>
            <w:pPr>
              <w:pStyle w:val="Normal"/>
              <w:ind w:start="-18" w:end="0"/>
              <w:rPr>
                <w:sz w:val="22"/>
              </w:rPr>
            </w:pPr>
            <w:r>
              <w:rPr>
                <w:sz w:val="22"/>
              </w:rPr>
              <w:t>BBB</w:t>
            </w:r>
          </w:p>
        </w:tc>
        <w:tc>
          <w:tcPr>
            <w:tcW w:w="1901" w:type="dxa"/>
            <w:tcBorders/>
          </w:tcPr>
          <w:p>
            <w:pPr>
              <w:pStyle w:val="Normal"/>
              <w:rPr>
                <w:sz w:val="22"/>
              </w:rPr>
            </w:pPr>
            <w:r>
              <w:rPr>
                <w:sz w:val="22"/>
              </w:rPr>
              <w:t>Baa2</w:t>
            </w:r>
          </w:p>
        </w:tc>
      </w:tr>
      <w:tr>
        <w:trPr/>
        <w:tc>
          <w:tcPr>
            <w:tcW w:w="2070" w:type="dxa"/>
            <w:tcBorders/>
          </w:tcPr>
          <w:p>
            <w:pPr>
              <w:pStyle w:val="Normal"/>
              <w:rPr>
                <w:sz w:val="22"/>
              </w:rPr>
            </w:pPr>
            <w:r>
              <w:rPr>
                <w:sz w:val="22"/>
              </w:rPr>
              <w:t>U.S. $10,000,000</w:t>
            </w:r>
          </w:p>
        </w:tc>
        <w:tc>
          <w:tcPr>
            <w:tcW w:w="2409" w:type="dxa"/>
            <w:tcBorders/>
          </w:tcPr>
          <w:p>
            <w:pPr>
              <w:pStyle w:val="Normal"/>
              <w:rPr>
                <w:sz w:val="22"/>
              </w:rPr>
            </w:pPr>
            <w:r>
              <w:rPr>
                <w:sz w:val="22"/>
              </w:rPr>
              <w:t>U.S. $10,000,000</w:t>
            </w:r>
          </w:p>
        </w:tc>
        <w:tc>
          <w:tcPr>
            <w:tcW w:w="1828" w:type="dxa"/>
            <w:tcBorders/>
          </w:tcPr>
          <w:p>
            <w:pPr>
              <w:pStyle w:val="Normal"/>
              <w:ind w:start="-18" w:end="0"/>
              <w:rPr>
                <w:sz w:val="22"/>
              </w:rPr>
            </w:pPr>
            <w:r>
              <w:rPr>
                <w:sz w:val="22"/>
              </w:rPr>
              <w:t>BBB-</w:t>
            </w:r>
          </w:p>
        </w:tc>
        <w:tc>
          <w:tcPr>
            <w:tcW w:w="1901" w:type="dxa"/>
            <w:tcBorders/>
          </w:tcPr>
          <w:p>
            <w:pPr>
              <w:pStyle w:val="Normal"/>
              <w:rPr>
                <w:sz w:val="22"/>
              </w:rPr>
            </w:pPr>
            <w:r>
              <w:rPr>
                <w:sz w:val="22"/>
              </w:rPr>
              <w:t>Baa3</w:t>
            </w:r>
          </w:p>
        </w:tc>
      </w:tr>
      <w:tr>
        <w:trPr/>
        <w:tc>
          <w:tcPr>
            <w:tcW w:w="2070" w:type="dxa"/>
            <w:tcBorders/>
          </w:tcPr>
          <w:p>
            <w:pPr>
              <w:pStyle w:val="Normal"/>
              <w:rPr>
                <w:sz w:val="22"/>
              </w:rPr>
            </w:pPr>
            <w:r>
              <w:rPr>
                <w:sz w:val="22"/>
              </w:rPr>
              <w:t>U.S. $ 0</w:t>
            </w:r>
          </w:p>
        </w:tc>
        <w:tc>
          <w:tcPr>
            <w:tcW w:w="2409" w:type="dxa"/>
            <w:tcBorders/>
          </w:tcPr>
          <w:p>
            <w:pPr>
              <w:pStyle w:val="Normal"/>
              <w:rPr>
                <w:sz w:val="22"/>
              </w:rPr>
            </w:pPr>
            <w:r>
              <w:rPr>
                <w:sz w:val="22"/>
              </w:rPr>
              <w:t>U.S. $ 0</w:t>
            </w:r>
          </w:p>
        </w:tc>
        <w:tc>
          <w:tcPr>
            <w:tcW w:w="1828" w:type="dxa"/>
            <w:tcBorders/>
          </w:tcPr>
          <w:p>
            <w:pPr>
              <w:pStyle w:val="Normal"/>
              <w:ind w:start="-18" w:end="0"/>
              <w:rPr>
                <w:sz w:val="22"/>
              </w:rPr>
            </w:pPr>
            <w:r>
              <w:rPr>
                <w:sz w:val="22"/>
              </w:rPr>
              <w:t>Below BBB-</w:t>
            </w:r>
          </w:p>
        </w:tc>
        <w:tc>
          <w:tcPr>
            <w:tcW w:w="1901" w:type="dxa"/>
            <w:tcBorders/>
          </w:tcPr>
          <w:p>
            <w:pPr>
              <w:pStyle w:val="Normal"/>
              <w:rPr>
                <w:sz w:val="22"/>
              </w:rPr>
            </w:pPr>
            <w:r>
              <w:rPr>
                <w:sz w:val="22"/>
              </w:rPr>
              <w:t>Below Baa3</w:t>
            </w:r>
          </w:p>
        </w:tc>
      </w:tr>
    </w:tbl>
    <w:p>
      <w:pPr>
        <w:pStyle w:val="Normal"/>
        <w:ind w:firstLine="720" w:end="0"/>
        <w:jc w:val="both"/>
        <w:rPr>
          <w:sz w:val="22"/>
        </w:rPr>
      </w:pPr>
      <w:r>
        <w:rPr>
          <w:sz w:val="22"/>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b/>
          <w:bCs/>
          <w:sz w:val="22"/>
        </w:rPr>
      </w:pPr>
      <w:r>
        <w:rPr>
          <w:sz w:val="22"/>
        </w:rPr>
        <w:t>"</w:t>
      </w:r>
      <w:r>
        <w:rPr>
          <w:sz w:val="22"/>
          <w:u w:val="single"/>
        </w:rPr>
        <w:t>Guarantor</w:t>
      </w:r>
      <w:r>
        <w:rPr>
          <w:sz w:val="22"/>
        </w:rPr>
        <w:t>" means with respect to Enron Group, any guarantor of an Enron Group Guaranty Agreement, and with respect to Counterparty Group, any guarantor of a Counterparty Group Guaranty Agreement.</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Collateral Annex, posted in respect of any Obligations of any Party.</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means ENA and EPMI, and EKT,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Termination Date</w:t>
      </w:r>
      <w:r>
        <w:rPr>
          <w:sz w:val="22"/>
        </w:rPr>
        <w:t>" has the meaning set forth in Section 6.</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b/>
          <w:bCs/>
          <w:sz w:val="22"/>
        </w:rPr>
      </w:pPr>
      <w:r>
        <w:rPr>
          <w:b/>
          <w:sz w:val="22"/>
        </w:rPr>
        <w:t xml:space="preserve">2.  Default and Remedies.  </w:t>
      </w:r>
      <w:r>
        <w:rPr>
          <w:sz w:val="22"/>
        </w:rPr>
        <w:t>(a)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xml:space="preserve">" under this Agreement.    </w:t>
      </w:r>
    </w:p>
    <w:p>
      <w:pPr>
        <w:pStyle w:val="OmniPage5"/>
        <w:ind w:firstLine="670" w:start="50" w:end="127"/>
        <w:jc w:val="both"/>
        <w:rPr>
          <w:b/>
          <w:bCs/>
          <w:sz w:val="22"/>
        </w:rPr>
      </w:pPr>
      <w:r>
        <w:rPr>
          <w:b/>
          <w:bCs/>
          <w:sz w:val="22"/>
        </w:rPr>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and the Collateral Administrator for Enron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Non-defaulting Group from exercising its right to claim or realizing on Collateral at any time after the Final Settlement Amount has been calculated by Non-defaulting Group, notwithstanding (and without awaiting the outcome of) any dispute as to the Final Settlement Amount payable.</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bCs/>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ind w:firstLine="698" w:start="80" w:end="109"/>
        <w:jc w:val="both"/>
        <w:rPr>
          <w:b/>
          <w:bCs/>
          <w:sz w:val="22"/>
        </w:rPr>
      </w:pPr>
      <w:r>
        <w:rPr>
          <w:b/>
          <w:bCs/>
          <w:sz w:val="22"/>
        </w:rPr>
      </w:r>
    </w:p>
    <w:p>
      <w:pPr>
        <w:pStyle w:val="Normal"/>
        <w:ind w:firstLine="720" w:end="0"/>
        <w:jc w:val="both"/>
        <w:rPr>
          <w:sz w:val="22"/>
        </w:rPr>
      </w:pPr>
      <w:bookmarkStart w:id="0" w:name="_Ref523586677"/>
      <w:r>
        <w:rPr>
          <w:sz w:val="22"/>
        </w:rPr>
        <w:t xml:space="preserve">(a)  Any Collateral provided (before, on or after the date of this Agreement) in respect of any Obligations, by or on behalf of any Counterparty Party to any Enron Party, shall secure the aggregate of the Obligations of Counterparty Group to Enron </w:t>
      </w:r>
      <w:bookmarkEnd w:id="0"/>
      <w:r>
        <w:rPr>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Normal"/>
        <w:ind w:firstLine="720" w:end="0"/>
        <w:jc w:val="both"/>
        <w:rPr>
          <w:sz w:val="22"/>
        </w:rPr>
      </w:pPr>
      <w:r>
        <w:rPr>
          <w:sz w:val="22"/>
        </w:rPr>
      </w:r>
    </w:p>
    <w:p>
      <w:pPr>
        <w:pStyle w:val="Normal"/>
        <w:ind w:firstLine="720" w:end="0"/>
        <w:jc w:val="both"/>
        <w:rPr>
          <w:sz w:val="22"/>
        </w:rPr>
      </w:pPr>
      <w:r>
        <w:rPr>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ind w:firstLine="698" w:start="80" w:end="109"/>
        <w:jc w:val="both"/>
        <w:rPr>
          <w:sz w:val="22"/>
        </w:rPr>
      </w:pPr>
      <w:r>
        <w:rPr>
          <w:sz w:val="22"/>
        </w:rPr>
      </w:r>
    </w:p>
    <w:p>
      <w:pPr>
        <w:pStyle w:val="OmniPage5"/>
        <w:ind w:firstLine="620" w:start="100" w:end="100"/>
        <w:jc w:val="both"/>
        <w:rPr>
          <w:sz w:val="22"/>
        </w:rPr>
      </w:pPr>
      <w:r>
        <w:rPr>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attorney-in-fact in the name of and on behalf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ind w:firstLine="620" w:start="100" w:end="100"/>
        <w:jc w:val="both"/>
        <w:rPr>
          <w:sz w:val="22"/>
        </w:rPr>
      </w:pPr>
      <w:r>
        <w:rPr>
          <w:sz w:val="22"/>
        </w:rPr>
      </w:r>
    </w:p>
    <w:p>
      <w:pPr>
        <w:pStyle w:val="OmniPage5"/>
        <w:ind w:firstLine="620" w:start="100" w:end="100"/>
        <w:jc w:val="both"/>
        <w:rPr>
          <w:sz w:val="22"/>
        </w:rPr>
      </w:pPr>
      <w:r>
        <w:rPr>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attorney-in-fact in the name of and on behalf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(e)  Notwithstanding any provisions of any of the Underlying Master Agreements, each Letter of Credit permitted as Collateral issued for the account of any Counterparty Party shall name ENA for itself and as agent for Enron Power Marketing, Inc. as beneficiary thereof, and each Letter of Credit permitted as credit support thereunder issued for the account of any Enron Party shall name Entergy-Koch Trading, L.P. as beneficiary thereof, and in each case shall provide for the right of ENA or EKT, respectively, to draw thereon upon the occurrence of a "</w:t>
      </w:r>
      <w:r>
        <w:rPr>
          <w:sz w:val="22"/>
          <w:u w:val="single"/>
        </w:rPr>
        <w:t>Drawing Event</w:t>
      </w:r>
      <w:r>
        <w:rPr>
          <w:sz w:val="22"/>
        </w:rPr>
        <w:t>" therein set forth, all as further defined and provided for in the Collateral Annex.  The Parties covenant to each other to forthwith and without delay cause the amendment or reestablishment of each Letter of Credit issued for its account pursuant to the Underlying Master Agreements in accordance with this Agreement and the Collateral Annex.</w:t>
      </w:r>
    </w:p>
    <w:p>
      <w:pPr>
        <w:pStyle w:val="OmniPage5"/>
        <w:ind w:firstLine="620" w:start="100" w:end="100"/>
        <w:jc w:val="both"/>
        <w:rPr>
          <w:b/>
          <w:bCs/>
          <w:sz w:val="22"/>
        </w:rPr>
      </w:pPr>
      <w:r>
        <w:rPr>
          <w:b/>
          <w:bCs/>
          <w:sz w:val="22"/>
        </w:rPr>
      </w:r>
    </w:p>
    <w:p>
      <w:pPr>
        <w:pStyle w:val="OmniPage5"/>
        <w:ind w:firstLine="620" w:start="100" w:end="100"/>
        <w:jc w:val="both"/>
        <w:rPr>
          <w:sz w:val="22"/>
        </w:rPr>
      </w:pPr>
      <w:r>
        <w:rPr>
          <w:sz w:val="22"/>
        </w:rPr>
        <w:t>(f)  The provisions of the Collateral Annex shall apply.</w:t>
      </w:r>
    </w:p>
    <w:p>
      <w:pPr>
        <w:pStyle w:val="OmniPage5"/>
        <w:ind w:firstLine="620" w:start="100" w:end="100"/>
        <w:jc w:val="both"/>
        <w:rPr>
          <w:sz w:val="22"/>
        </w:rPr>
      </w:pPr>
      <w:r>
        <w:rPr>
          <w:sz w:val="22"/>
        </w:rPr>
      </w:r>
    </w:p>
    <w:p>
      <w:pPr>
        <w:pStyle w:val="OmniPage5"/>
        <w:ind w:firstLine="620" w:start="100" w:end="100"/>
        <w:jc w:val="both"/>
        <w:rPr/>
      </w:pPr>
      <w:r>
        <w:rPr>
          <w:sz w:val="22"/>
        </w:rPr>
        <w:t>(g)  At such time as this Agreement has been terminated or is otherwise no longer in force and effect for any reason (the "</w:t>
      </w:r>
      <w:r>
        <w:rPr>
          <w:sz w:val="22"/>
          <w:u w:val="single"/>
        </w:rPr>
        <w:t>Termination Date</w:t>
      </w:r>
      <w:r>
        <w:rPr>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 xml:space="preserve">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and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w:t>
      </w:r>
    </w:p>
    <w:p>
      <w:pPr>
        <w:pStyle w:val="Normal"/>
        <w:jc w:val="both"/>
        <w:rPr>
          <w:sz w:val="22"/>
        </w:rPr>
      </w:pPr>
      <w:r>
        <w:rPr>
          <w:sz w:val="22"/>
        </w:rPr>
      </w:r>
    </w:p>
    <w:p>
      <w:pPr>
        <w:pStyle w:val="Normal"/>
        <w:ind w:firstLine="81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  The Parties acknowledge and agree that all Transactions executed pursuant to the Financial Master Agreement constitute "swap agreements," and all Transactions executed pursuant to the Physical Gas Master Agreement and the Physical Power Master Agreement constitute "forward contracts," each within the meaning of the United States Bankruptcy Code.</w:t>
      </w:r>
    </w:p>
    <w:p>
      <w:pPr>
        <w:pStyle w:val="Normal"/>
        <w:ind w:firstLine="900" w:end="0"/>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 xml:space="preserve">(a)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subject to this Agreement, and shall provide that such assignee or other transferee shall execute this Agreement as a condition to the effectiveness of any such assignment or other transfer.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(b)  If any Underlying Master Agreement permits assignment of it and Transactions thereunder as security, then notwithstanding the provisions of such Underlying Master Agreement, such Underlying Master Agreement and Transactions thereunder and this Agreement, and any rights therein, may be assigned or otherwise transferred as security only if the assignment or other transfer (i) is made subject to this Agreement and any rights in favor of any Party under this Agreement (whether by setoff, Underlying Master Agreements Close-Out, or otherwise), (ii) does not increase the obligations of, or reduce the rights of, the non-assigning Party, all in substance and form reasonably satisfactory to the non-assigning Party, and (iii) is made pursuant to documentation that is in substance and form reasonably satisfactory to the non-assigning Party.</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Other than as expressly set forth in this Section 11 and notwithstanding any provision in any of the Underlying Master Agreements to the contrary, the Underlying Master Agreements and Transactions thereunder shall not be assigned (whether by security or otherwise) by any Enron Party or any Counterparty Party without the prior written consent of Counterparty Party or Enron Party, respectively, which consent may be given or withheld at the sole discretion of the non-assigning Party. </w:t>
      </w:r>
    </w:p>
    <w:p>
      <w:pPr>
        <w:pStyle w:val="OmniPage5"/>
        <w:ind w:firstLine="722" w:start="88" w:end="136"/>
        <w:jc w:val="both"/>
        <w:rPr>
          <w:bCs/>
          <w:sz w:val="22"/>
        </w:rPr>
      </w:pPr>
      <w:r>
        <w:rPr>
          <w:bCs/>
          <w:sz w:val="22"/>
        </w:rPr>
      </w:r>
    </w:p>
    <w:p>
      <w:pPr>
        <w:pStyle w:val="OmniPage5"/>
        <w:ind w:firstLine="722" w:start="88" w:end="136"/>
        <w:jc w:val="both"/>
        <w:rPr/>
      </w:pPr>
      <w:r>
        <w:rPr>
          <w:bCs/>
          <w:sz w:val="22"/>
        </w:rPr>
        <w:t xml:space="preserve">(d)  Other than as expressly set forth in this Section 11, this Agreement shall not be assigned </w:t>
      </w:r>
      <w:r>
        <w:rPr>
          <w:sz w:val="22"/>
        </w:rPr>
        <w:t xml:space="preserve">(whether by way of security or otherwise) </w:t>
      </w:r>
      <w:r>
        <w:rPr>
          <w:bCs/>
          <w:sz w:val="22"/>
        </w:rPr>
        <w:t xml:space="preserve">by Enron Party or Counterparty Party without the prior written consent of Counterparty Party or Enron Party, respectively, which consent may be given or withheld at the sole discretion of the non-assigning Party.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(f)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rPr>
      </w:pPr>
      <w:r>
        <w:rPr>
          <w:sz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Entergy-Koch Trading, LP</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20 E. Greenway Plaza, Suite 700</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Houston, Texas 77046</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Credit Manager</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Facsimile No.:  </w:t>
            </w:r>
            <w:r>
              <w:rPr>
                <w:sz w:val="22"/>
                <w:u w:val="single"/>
              </w:rPr>
              <w:t>713.544.4121</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Telephone No.:  </w:t>
            </w:r>
            <w:r>
              <w:rPr>
                <w:sz w:val="22"/>
                <w:u w:val="single"/>
              </w:rPr>
              <w:t>713.544.5053</w:t>
            </w:r>
          </w:p>
        </w:tc>
      </w:tr>
    </w:tbl>
    <w:p>
      <w:pPr>
        <w:pStyle w:val="OmniPage5"/>
        <w:ind w:firstLine="722" w:start="100" w:end="138"/>
        <w:jc w:val="both"/>
        <w:rPr>
          <w:sz w:val="22"/>
        </w:rPr>
      </w:pPr>
      <w:r>
        <w:rPr>
          <w:sz w:val="22"/>
        </w:rPr>
        <w:t xml:space="preserve"> </w:t>
      </w:r>
    </w:p>
    <w:p>
      <w:pPr>
        <w:pStyle w:val="Normal"/>
        <w:jc w:val="both"/>
        <w:rPr>
          <w:sz w:val="22"/>
        </w:rPr>
      </w:pPr>
      <w:r>
        <w:rPr>
          <w:sz w:val="22"/>
        </w:rPr>
        <w:t>A copy of any notice sent to Counterparty Group pursuant to Section 2 or Section 6 must also be sent to (i) Entergy-Koch, LP, Attention:  General Counsel at 20 E. Greenway Plaza, Houston, TX.  77046, Suite 950 and facsimile no. (713) 544-9031, and (ii) Entergy-Koch Trading, LP, Attention:  Assistant General Counsel at the above address and facsimile no. (713) 544-9053.</w:t>
      </w:r>
    </w:p>
    <w:p>
      <w:pPr>
        <w:pStyle w:val="OmniPage5"/>
        <w:ind w:firstLine="722" w:start="100" w:end="138"/>
        <w:jc w:val="both"/>
        <w:rPr>
          <w:sz w:val="22"/>
        </w:rPr>
      </w:pPr>
      <w:r>
        <w:rPr>
          <w:sz w:val="22"/>
        </w:rPr>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jc w:val="both"/>
        <w:rPr>
          <w:sz w:val="22"/>
        </w:rPr>
      </w:pPr>
      <w:r>
        <w:rPr>
          <w:sz w:val="22"/>
        </w:rPr>
      </w:r>
    </w:p>
    <w:p>
      <w:pPr>
        <w:pStyle w:val="OmniPage6"/>
        <w:ind w:firstLine="724" w:start="79" w:end="193"/>
        <w:jc w:val="both"/>
        <w:rPr/>
      </w:pPr>
      <w:r>
        <w:rPr>
          <w:b/>
          <w:bCs/>
          <w:sz w:val="22"/>
        </w:rPr>
        <w:t>13.</w:t>
      </w:r>
      <w:r>
        <w:rPr>
          <w:sz w:val="22"/>
        </w:rPr>
        <w:t xml:space="preserve">  </w:t>
      </w:r>
      <w:r>
        <w:rPr>
          <w:b/>
          <w:sz w:val="22"/>
        </w:rPr>
        <w:t xml:space="preserve">Conflicts and Inconsistencies.  </w:t>
      </w:r>
      <w:r>
        <w:rPr>
          <w:sz w:val="22"/>
        </w:rPr>
        <w:t>In the event of any conflict or inconsistency between this Agreement and any of the Underlying Master Agreements concerning the matters set forth in this Agreement, the provisions of this Agreement shall govern.</w:t>
      </w:r>
    </w:p>
    <w:p>
      <w:pPr>
        <w:pStyle w:val="OmniPage6"/>
        <w:ind w:firstLine="724" w:start="79" w:end="193"/>
        <w:jc w:val="both"/>
        <w:rPr>
          <w:sz w:val="22"/>
        </w:rPr>
      </w:pPr>
      <w:r>
        <w:rPr>
          <w:sz w:val="22"/>
        </w:rPr>
      </w:r>
    </w:p>
    <w:p>
      <w:pPr>
        <w:pStyle w:val="Normal"/>
        <w:tabs>
          <w:tab w:val="clear" w:pos="720"/>
          <w:tab w:val="left" w:pos="1260" w:leader="none"/>
        </w:tabs>
        <w:ind w:firstLine="720" w:end="0"/>
        <w:jc w:val="both"/>
        <w:rPr/>
      </w:pPr>
      <w:r>
        <w:rPr>
          <w:b/>
          <w:sz w:val="22"/>
        </w:rPr>
        <w:t xml:space="preserve"> </w:t>
      </w:r>
      <w:r>
        <w:rPr>
          <w:b/>
          <w:sz w:val="22"/>
        </w:rPr>
        <w:t>14.</w:t>
        <w:tab/>
        <w:t xml:space="preserve"> Continuation of Master Agreements and Severability.</w:t>
      </w:r>
      <w:r>
        <w:rPr>
          <w:sz w:val="22"/>
        </w:rPr>
        <w:t xml:space="preserve">  (a)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(b)  If either of Section 2 or Section 3 is deemed or held to be invalid, illegal, or unenforceable, this Agreement shall be deemed to be null and void in its entirety and without any further force or effect; provided however, if this Agreement is deemed to be null and void in its entirety and without any further force or effect, the terms and conditions of the Underlying Master Agreements, including the collateral provisions therein, will be immediately reinstated and govern for the benefit of the Parties pursuant to Section 6(g) herein.</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w:t>
        <w:tab/>
        <w:t xml:space="preserve">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expressly waive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any Party shall have the right to terminate this Agreement by notice to the other Parties upon such time as there are fewer than two Underlying Master Agreements in effect.</w:t>
      </w:r>
    </w:p>
    <w:p>
      <w:pPr>
        <w:pStyle w:val="Normal"/>
        <w:tabs>
          <w:tab w:val="left" w:pos="720" w:leader="none"/>
          <w:tab w:val="left" w:pos="1260" w:leader="none"/>
        </w:tabs>
        <w:jc w:val="both"/>
        <w:rPr>
          <w:sz w:val="22"/>
        </w:rPr>
      </w:pPr>
      <w:r>
        <w:rPr>
          <w:sz w:val="22"/>
        </w:rPr>
        <w:t xml:space="preserve"> </w:t>
      </w:r>
      <w:r>
        <w:br w:type="page"/>
      </w:r>
    </w:p>
    <w:p>
      <w:pPr>
        <w:pStyle w:val="Normal"/>
        <w:tabs>
          <w:tab w:val="left" w:pos="720" w:leader="none"/>
          <w:tab w:val="left" w:pos="1260" w:leader="none"/>
        </w:tabs>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sz w:val="22"/>
        </w:rPr>
      </w:pPr>
      <w:r>
        <w:rPr>
          <w:sz w:val="22"/>
        </w:rPr>
      </w:r>
    </w:p>
    <w:p>
      <w:pPr>
        <w:pStyle w:val="OmniPage6"/>
        <w:jc w:val="both"/>
        <w:rPr>
          <w:b/>
          <w:sz w:val="22"/>
        </w:rPr>
      </w:pPr>
      <w:r>
        <w:rPr>
          <w:b/>
          <w:sz w:val="22"/>
        </w:rPr>
        <w:t>ENRON POWER MARKETING, INC.</w:t>
      </w:r>
    </w:p>
    <w:p>
      <w:pPr>
        <w:pStyle w:val="OmniPage6"/>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b/>
          <w:sz w:val="22"/>
        </w:rPr>
      </w:pPr>
      <w:r>
        <w:rPr>
          <w:sz w:val="22"/>
        </w:rPr>
        <w:t>TITLE:  _____________________________________</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"COUNTERPARTY PARTY"</w:t>
      </w:r>
    </w:p>
    <w:p>
      <w:pPr>
        <w:pStyle w:val="Normal"/>
        <w:jc w:val="both"/>
        <w:rPr>
          <w:b/>
          <w:sz w:val="22"/>
        </w:rPr>
      </w:pPr>
      <w:r>
        <w:rPr>
          <w:b/>
          <w:sz w:val="22"/>
        </w:rPr>
      </w:r>
    </w:p>
    <w:p>
      <w:pPr>
        <w:pStyle w:val="Normal"/>
        <w:jc w:val="both"/>
        <w:rPr>
          <w:b/>
          <w:sz w:val="22"/>
        </w:rPr>
      </w:pPr>
      <w:r>
        <w:rPr>
          <w:b/>
          <w:sz w:val="22"/>
        </w:rPr>
        <w:t>ENTERGY-KOCH TRADING, LP</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sz w:val="22"/>
        </w:rPr>
      </w:pPr>
      <w:r>
        <w:rPr>
          <w:b/>
          <w:sz w:val="22"/>
        </w:rPr>
      </w:r>
      <w:r>
        <w:br w:type="page"/>
      </w:r>
    </w:p>
    <w:p>
      <w:pPr>
        <w:pStyle w:val="Normal"/>
        <w:jc w:val="both"/>
        <w:rPr>
          <w:b/>
          <w:sz w:val="22"/>
        </w:rPr>
      </w:pPr>
      <w:r>
        <w:rPr>
          <w:b/>
          <w:sz w:val="22"/>
        </w:rPr>
      </w:r>
    </w:p>
    <w:p>
      <w:pPr>
        <w:pStyle w:val="Normal"/>
        <w:jc w:val="both"/>
        <w:rPr>
          <w:sz w:val="22"/>
        </w:rPr>
      </w:pPr>
      <w:r>
        <w:rPr>
          <w:sz w:val="22"/>
        </w:rPr>
      </w:r>
    </w:p>
    <w:p>
      <w:pPr>
        <w:pStyle w:val="Heading1"/>
        <w:ind w:hanging="0" w:start="0"/>
        <w:rPr>
          <w:sz w:val="22"/>
        </w:rPr>
      </w:pPr>
      <w:r>
        <w:rPr>
          <w:sz w:val="22"/>
        </w:rPr>
        <w:t>GUARANTOR’S ACKNOWLEDGEMENT AND AGREEMENT</w:t>
      </w:r>
    </w:p>
    <w:p>
      <w:pPr>
        <w:pStyle w:val="Normal"/>
        <w:jc w:val="both"/>
        <w:rPr>
          <w:color w:val="000000"/>
          <w:sz w:val="22"/>
        </w:rPr>
      </w:pPr>
      <w:r>
        <w:rPr>
          <w:color w:val="000000"/>
          <w:sz w:val="22"/>
        </w:rPr>
      </w:r>
    </w:p>
    <w:p>
      <w:pPr>
        <w:pStyle w:val="Normal"/>
        <w:jc w:val="both"/>
        <w:rPr>
          <w:color w:val="000000"/>
          <w:sz w:val="22"/>
        </w:rPr>
      </w:pPr>
      <w:r>
        <w:rPr>
          <w:color w:val="000000"/>
          <w:sz w:val="22"/>
        </w:rPr>
        <w:t>Each of Entergy-Koch, LP and Koch Industries, Inc., each as Guarantor of Counterparty Group, has issued the following Guaranty(ees) on behalf of Entergy-Koch Trading, LP:</w:t>
      </w:r>
    </w:p>
    <w:p>
      <w:pPr>
        <w:pStyle w:val="Normal"/>
        <w:jc w:val="both"/>
        <w:rPr>
          <w:color w:val="000000"/>
          <w:sz w:val="22"/>
        </w:rPr>
      </w:pPr>
      <w:r>
        <w:rPr>
          <w:color w:val="000000"/>
          <w:sz w:val="22"/>
        </w:rPr>
        <w:tab/>
      </w:r>
    </w:p>
    <w:p>
      <w:pPr>
        <w:pStyle w:val="Normal"/>
        <w:ind w:firstLine="720" w:end="0"/>
        <w:jc w:val="both"/>
        <w:rPr>
          <w:color w:val="000000"/>
          <w:sz w:val="22"/>
        </w:rPr>
      </w:pPr>
      <w:r>
        <w:rPr>
          <w:color w:val="000000"/>
          <w:sz w:val="22"/>
        </w:rPr>
        <w:t>GUARANTOR</w:t>
        <w:tab/>
        <w:tab/>
        <w:t>Koch Industries, Inc.</w:t>
      </w:r>
    </w:p>
    <w:p>
      <w:pPr>
        <w:pStyle w:val="Normal"/>
        <w:jc w:val="both"/>
        <w:rPr>
          <w:color w:val="000000"/>
          <w:sz w:val="22"/>
        </w:rPr>
      </w:pPr>
      <w:r>
        <w:rPr>
          <w:color w:val="000000"/>
          <w:sz w:val="22"/>
        </w:rPr>
        <w:tab/>
        <w:t>DATE</w:t>
        <w:tab/>
        <w:tab/>
        <w:tab/>
        <w:t>October 31, 2000</w:t>
      </w:r>
    </w:p>
    <w:p>
      <w:pPr>
        <w:pStyle w:val="Normal"/>
        <w:jc w:val="both"/>
        <w:rPr>
          <w:color w:val="000000"/>
          <w:sz w:val="22"/>
        </w:rPr>
      </w:pPr>
      <w:r>
        <w:rPr>
          <w:color w:val="000000"/>
          <w:sz w:val="22"/>
        </w:rPr>
        <w:tab/>
        <w:t>BENEFICIARY</w:t>
        <w:tab/>
        <w:t>Enron Group and others</w:t>
      </w:r>
    </w:p>
    <w:p>
      <w:pPr>
        <w:pStyle w:val="Normal"/>
        <w:jc w:val="both"/>
        <w:rPr>
          <w:color w:val="000000"/>
          <w:sz w:val="22"/>
        </w:rPr>
      </w:pPr>
      <w:r>
        <w:rPr>
          <w:color w:val="000000"/>
          <w:sz w:val="22"/>
        </w:rPr>
        <w:tab/>
        <w:t>AMOUNT</w:t>
        <w:tab/>
        <w:tab/>
        <w:t>US$135,000,000</w:t>
      </w:r>
    </w:p>
    <w:p>
      <w:pPr>
        <w:pStyle w:val="Normal"/>
        <w:jc w:val="both"/>
        <w:rPr>
          <w:color w:val="000000"/>
          <w:sz w:val="22"/>
        </w:rPr>
      </w:pPr>
      <w:r>
        <w:rPr>
          <w:color w:val="000000"/>
          <w:sz w:val="22"/>
        </w:rPr>
      </w:r>
    </w:p>
    <w:p>
      <w:pPr>
        <w:pStyle w:val="Normal"/>
        <w:ind w:firstLine="720" w:end="0"/>
        <w:jc w:val="both"/>
        <w:rPr>
          <w:color w:val="000000"/>
          <w:sz w:val="22"/>
        </w:rPr>
      </w:pPr>
      <w:r>
        <w:rPr>
          <w:color w:val="000000"/>
          <w:sz w:val="22"/>
        </w:rPr>
        <w:t>GUARANTOR</w:t>
        <w:tab/>
        <w:tab/>
        <w:t>Entergy-Koch, LP</w:t>
      </w:r>
    </w:p>
    <w:p>
      <w:pPr>
        <w:pStyle w:val="Normal"/>
        <w:ind w:firstLine="720" w:end="0"/>
        <w:jc w:val="both"/>
        <w:rPr>
          <w:color w:val="000000"/>
          <w:sz w:val="22"/>
        </w:rPr>
      </w:pPr>
      <w:r>
        <w:rPr>
          <w:color w:val="000000"/>
          <w:sz w:val="22"/>
        </w:rPr>
        <w:t>DATE</w:t>
        <w:tab/>
        <w:tab/>
        <w:tab/>
        <w:t>February 21, 2001</w:t>
      </w:r>
    </w:p>
    <w:p>
      <w:pPr>
        <w:pStyle w:val="Normal"/>
        <w:ind w:firstLine="720" w:end="0"/>
        <w:jc w:val="both"/>
        <w:rPr>
          <w:b/>
          <w:bCs/>
          <w:color w:val="000000"/>
          <w:sz w:val="22"/>
        </w:rPr>
      </w:pPr>
      <w:r>
        <w:rPr>
          <w:color w:val="000000"/>
          <w:sz w:val="22"/>
        </w:rPr>
        <w:t>BENEFICIARY</w:t>
        <w:tab/>
        <w:t>Enron Group and others</w:t>
        <w:tab/>
      </w:r>
    </w:p>
    <w:p>
      <w:pPr>
        <w:pStyle w:val="Normal"/>
        <w:jc w:val="both"/>
        <w:rPr>
          <w:color w:val="000000"/>
          <w:sz w:val="22"/>
        </w:rPr>
      </w:pPr>
      <w:r>
        <w:rPr>
          <w:color w:val="000000"/>
          <w:sz w:val="22"/>
        </w:rPr>
        <w:tab/>
        <w:t>AMOUNT</w:t>
        <w:tab/>
        <w:tab/>
        <w:t>US$40,000,000</w:t>
      </w:r>
    </w:p>
    <w:p>
      <w:pPr>
        <w:pStyle w:val="Normal"/>
        <w:jc w:val="both"/>
        <w:rPr>
          <w:color w:val="000000"/>
          <w:sz w:val="22"/>
        </w:rPr>
      </w:pPr>
      <w:r>
        <w:rPr>
          <w:color w:val="000000"/>
          <w:sz w:val="22"/>
        </w:rPr>
      </w:r>
    </w:p>
    <w:p>
      <w:pPr>
        <w:pStyle w:val="Normal"/>
        <w:jc w:val="both"/>
        <w:rPr/>
      </w:pPr>
      <w:r>
        <w:rPr>
          <w:color w:val="000000"/>
          <w:sz w:val="22"/>
        </w:rPr>
        <w:t xml:space="preserve">Each of Entergy-Koch, LP and Koch Industries, Inc. acknowledges the execution of this </w:t>
      </w:r>
      <w:r>
        <w:rPr>
          <w:sz w:val="22"/>
        </w:rPr>
        <w:t>MASTER NETTING, SETOFF, AND SECURITY AGREEMENT and agrees that: (a) the execution and delivery of  this MASTER NETTING, SETOFF, AND SECURITY AGREEMENT is of benefit to the Guarantor; (b) the Guaranty(ees) described above are not diminished nor adversely affected by this MASTER NETTING, SETOFF, AND SECURITY AGREEMENT; and (c) the Guaranty(ees) remain in full force and effect in accordance with the terms and conditions contained therein.</w:t>
      </w:r>
    </w:p>
    <w:p>
      <w:pPr>
        <w:pStyle w:val="Normal"/>
        <w:jc w:val="both"/>
        <w:rPr>
          <w:sz w:val="22"/>
        </w:rPr>
      </w:pPr>
      <w:r>
        <w:rPr>
          <w:sz w:val="22"/>
        </w:rPr>
      </w:r>
    </w:p>
    <w:p>
      <w:pPr>
        <w:pStyle w:val="Normal"/>
        <w:jc w:val="both"/>
        <w:rPr>
          <w:b/>
          <w:sz w:val="22"/>
        </w:rPr>
      </w:pPr>
      <w:r>
        <w:rPr>
          <w:b/>
          <w:sz w:val="22"/>
        </w:rPr>
        <w:t>ENTERGY-KOCH, LP</w:t>
      </w:r>
    </w:p>
    <w:p>
      <w:pPr>
        <w:pStyle w:val="Normal"/>
        <w:jc w:val="both"/>
        <w:rPr>
          <w:b/>
          <w:sz w:val="22"/>
        </w:rPr>
      </w:pPr>
      <w:r>
        <w:rPr>
          <w:b/>
          <w:sz w:val="22"/>
        </w:rPr>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rPr>
          <w:color w:val="000000"/>
          <w:sz w:val="22"/>
        </w:rPr>
      </w:pPr>
      <w:r>
        <w:rPr>
          <w:color w:val="000000"/>
          <w:sz w:val="22"/>
        </w:rPr>
      </w:r>
    </w:p>
    <w:p>
      <w:pPr>
        <w:pStyle w:val="Normal"/>
        <w:rPr>
          <w:color w:val="000000"/>
          <w:sz w:val="22"/>
        </w:rPr>
      </w:pPr>
      <w:r>
        <w:rPr>
          <w:color w:val="000000"/>
          <w:sz w:val="22"/>
        </w:rPr>
      </w:r>
    </w:p>
    <w:p>
      <w:pPr>
        <w:pStyle w:val="Normal"/>
        <w:jc w:val="both"/>
        <w:rPr>
          <w:b/>
          <w:sz w:val="22"/>
        </w:rPr>
      </w:pPr>
      <w:r>
        <w:rPr>
          <w:b/>
          <w:sz w:val="22"/>
        </w:rPr>
        <w:t>KOCH INDUSTRIES, INC.</w:t>
      </w:r>
    </w:p>
    <w:p>
      <w:pPr>
        <w:pStyle w:val="Normal"/>
        <w:jc w:val="both"/>
        <w:rPr>
          <w:b/>
          <w:sz w:val="22"/>
        </w:rPr>
      </w:pPr>
      <w:r>
        <w:rPr>
          <w:b/>
          <w:sz w:val="22"/>
        </w:rPr>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rPr>
          <w:color w:val="000000"/>
          <w:sz w:val="22"/>
        </w:rPr>
      </w:pPr>
      <w:r>
        <w:rPr>
          <w:color w:val="000000"/>
          <w:sz w:val="22"/>
        </w:rPr>
      </w:r>
    </w:p>
    <w:p>
      <w:pPr>
        <w:pStyle w:val="Normal"/>
        <w:rPr>
          <w:color w:val="000000"/>
          <w:sz w:val="22"/>
        </w:rPr>
      </w:pPr>
      <w:r>
        <w:rPr>
          <w:color w:val="000000"/>
          <w:sz w:val="22"/>
        </w:rPr>
        <w:t xml:space="preserve"> </w:t>
      </w:r>
      <w:r>
        <w:br w:type="page"/>
      </w:r>
    </w:p>
    <w:p>
      <w:pPr>
        <w:pStyle w:val="Normal"/>
        <w:jc w:val="both"/>
        <w:rPr>
          <w:color w:val="000000"/>
          <w:sz w:val="22"/>
        </w:rPr>
      </w:pPr>
      <w:r>
        <w:rPr>
          <w:color w:val="000000"/>
          <w:sz w:val="22"/>
        </w:rPr>
      </w:r>
    </w:p>
    <w:p>
      <w:pPr>
        <w:pStyle w:val="Heading1"/>
        <w:ind w:hanging="0" w:start="0"/>
        <w:rPr>
          <w:sz w:val="22"/>
        </w:rPr>
      </w:pPr>
      <w:r>
        <w:rPr>
          <w:sz w:val="22"/>
        </w:rPr>
        <w:t>GUARANTOR’S ACKNOWLEDGEMENT AND AGREEMENT</w:t>
      </w:r>
    </w:p>
    <w:p>
      <w:pPr>
        <w:pStyle w:val="Normal"/>
        <w:jc w:val="both"/>
        <w:rPr>
          <w:color w:val="000000"/>
          <w:sz w:val="22"/>
        </w:rPr>
      </w:pPr>
      <w:r>
        <w:rPr>
          <w:color w:val="000000"/>
          <w:sz w:val="22"/>
        </w:rPr>
      </w:r>
    </w:p>
    <w:p>
      <w:pPr>
        <w:pStyle w:val="Normal"/>
        <w:jc w:val="both"/>
        <w:rPr>
          <w:color w:val="000000"/>
          <w:sz w:val="22"/>
        </w:rPr>
      </w:pPr>
      <w:r>
        <w:rPr>
          <w:color w:val="000000"/>
          <w:sz w:val="22"/>
        </w:rPr>
        <w:t>Enron Corp., as Guarantor of Enron Group, has issued the following Guaranty(ees) on behalf of Enron North America and Enron Power Marketing, Inc.:</w:t>
      </w:r>
    </w:p>
    <w:p>
      <w:pPr>
        <w:pStyle w:val="Normal"/>
        <w:jc w:val="both"/>
        <w:rPr>
          <w:color w:val="000000"/>
          <w:sz w:val="22"/>
        </w:rPr>
      </w:pPr>
      <w:r>
        <w:rPr>
          <w:color w:val="000000"/>
          <w:sz w:val="22"/>
        </w:rPr>
      </w:r>
    </w:p>
    <w:p>
      <w:pPr>
        <w:pStyle w:val="Normal"/>
        <w:jc w:val="both"/>
        <w:rPr>
          <w:color w:val="000000"/>
          <w:sz w:val="22"/>
        </w:rPr>
      </w:pPr>
      <w:r>
        <w:rPr>
          <w:color w:val="000000"/>
          <w:sz w:val="22"/>
        </w:rPr>
        <w:tab/>
        <w:t>DATE</w:t>
        <w:tab/>
        <w:tab/>
        <w:tab/>
        <w:t>February 1, 2001</w:t>
      </w:r>
    </w:p>
    <w:p>
      <w:pPr>
        <w:pStyle w:val="Normal"/>
        <w:jc w:val="both"/>
        <w:rPr>
          <w:color w:val="000000"/>
          <w:sz w:val="22"/>
        </w:rPr>
      </w:pPr>
      <w:r>
        <w:rPr>
          <w:color w:val="000000"/>
          <w:sz w:val="22"/>
        </w:rPr>
        <w:tab/>
        <w:t>BENEFICIARY</w:t>
        <w:tab/>
        <w:t>Entergy-Koch Trading, LP</w:t>
      </w:r>
    </w:p>
    <w:p>
      <w:pPr>
        <w:pStyle w:val="Normal"/>
        <w:jc w:val="both"/>
        <w:rPr>
          <w:color w:val="000000"/>
          <w:sz w:val="22"/>
        </w:rPr>
      </w:pPr>
      <w:r>
        <w:rPr>
          <w:color w:val="000000"/>
          <w:sz w:val="22"/>
        </w:rPr>
        <w:tab/>
        <w:t>AMOUNT</w:t>
        <w:tab/>
        <w:tab/>
        <w:t>US$60,000,000</w:t>
      </w:r>
    </w:p>
    <w:p>
      <w:pPr>
        <w:pStyle w:val="Normal"/>
        <w:jc w:val="both"/>
        <w:rPr>
          <w:color w:val="000000"/>
          <w:sz w:val="22"/>
        </w:rPr>
      </w:pPr>
      <w:r>
        <w:rPr>
          <w:color w:val="000000"/>
          <w:sz w:val="22"/>
        </w:rPr>
      </w:r>
    </w:p>
    <w:p>
      <w:pPr>
        <w:pStyle w:val="Normal"/>
        <w:jc w:val="both"/>
        <w:rPr>
          <w:color w:val="000000"/>
          <w:sz w:val="22"/>
        </w:rPr>
      </w:pPr>
      <w:r>
        <w:rPr>
          <w:color w:val="000000"/>
          <w:sz w:val="22"/>
        </w:rPr>
        <w:tab/>
        <w:t>DATE</w:t>
        <w:tab/>
        <w:tab/>
        <w:tab/>
        <w:t>November 5, 1996, amended April 29, 1998 and June 22, 1998</w:t>
      </w:r>
    </w:p>
    <w:p>
      <w:pPr>
        <w:pStyle w:val="Normal"/>
        <w:jc w:val="both"/>
        <w:rPr>
          <w:b/>
          <w:bCs/>
          <w:color w:val="000000"/>
          <w:sz w:val="22"/>
        </w:rPr>
      </w:pPr>
      <w:r>
        <w:rPr>
          <w:color w:val="000000"/>
          <w:sz w:val="22"/>
        </w:rPr>
        <w:tab/>
        <w:t>BENEFICIARY</w:t>
        <w:tab/>
        <w:t>Entergy-Koch Trading, LP</w:t>
      </w:r>
    </w:p>
    <w:p>
      <w:pPr>
        <w:pStyle w:val="Normal"/>
        <w:jc w:val="both"/>
        <w:rPr>
          <w:color w:val="000000"/>
          <w:sz w:val="22"/>
        </w:rPr>
      </w:pPr>
      <w:r>
        <w:rPr>
          <w:color w:val="000000"/>
          <w:sz w:val="22"/>
        </w:rPr>
        <w:tab/>
        <w:t>AMOUNT</w:t>
        <w:tab/>
        <w:tab/>
        <w:t>US$50,000,000</w:t>
      </w:r>
    </w:p>
    <w:p>
      <w:pPr>
        <w:pStyle w:val="Normal"/>
        <w:jc w:val="both"/>
        <w:rPr>
          <w:color w:val="000000"/>
          <w:sz w:val="22"/>
        </w:rPr>
      </w:pPr>
      <w:r>
        <w:rPr>
          <w:color w:val="000000"/>
          <w:sz w:val="22"/>
        </w:rPr>
      </w:r>
    </w:p>
    <w:p>
      <w:pPr>
        <w:pStyle w:val="Normal"/>
        <w:jc w:val="both"/>
        <w:rPr/>
      </w:pPr>
      <w:r>
        <w:rPr>
          <w:color w:val="000000"/>
          <w:sz w:val="22"/>
        </w:rPr>
        <w:t xml:space="preserve">Enron Corp. acknowledges the execution of this </w:t>
      </w:r>
      <w:r>
        <w:rPr>
          <w:sz w:val="22"/>
        </w:rPr>
        <w:t xml:space="preserve">MASTER NETTING, SETOFF, AND SECURITY AGREEMENT and agrees that: (a) the execution and delivery of  this MASTER NETTING, SETOFF, AND SECURITY AGREEMENT is of benefit to the Guarantor; (b) the Guaranty(ees) described above are not diminished nor adversely affected by this MASTER NETTING, SETOFF, AND SECURITY AGREEMENT; and (c) the Guaranty(ees) remain in full force and effect in accordance with the terms and conditions contained therein. </w:t>
      </w:r>
    </w:p>
    <w:p>
      <w:pPr>
        <w:pStyle w:val="OmniPage6"/>
        <w:jc w:val="both"/>
        <w:rPr>
          <w:sz w:val="22"/>
        </w:rPr>
      </w:pPr>
      <w:r>
        <w:rPr>
          <w:sz w:val="22"/>
        </w:rPr>
      </w:r>
    </w:p>
    <w:p>
      <w:pPr>
        <w:pStyle w:val="OmniPage6"/>
        <w:jc w:val="both"/>
        <w:rPr>
          <w:b/>
          <w:bCs/>
          <w:sz w:val="22"/>
        </w:rPr>
      </w:pPr>
      <w:r>
        <w:rPr>
          <w:b/>
          <w:bCs/>
          <w:sz w:val="22"/>
        </w:rPr>
        <w:t>ENRON CORP.</w:t>
      </w:r>
    </w:p>
    <w:p>
      <w:pPr>
        <w:pStyle w:val="OmniPage6"/>
        <w:jc w:val="both"/>
        <w:rPr>
          <w:b/>
          <w:bCs/>
          <w:sz w:val="22"/>
        </w:rPr>
      </w:pPr>
      <w:r>
        <w:rPr>
          <w:b/>
          <w:bCs/>
          <w:sz w:val="22"/>
        </w:rPr>
      </w:r>
    </w:p>
    <w:p>
      <w:pPr>
        <w:pStyle w:val="OmniPage6"/>
        <w:jc w:val="both"/>
        <w:rPr>
          <w:sz w:val="22"/>
        </w:rPr>
      </w:pPr>
      <w:r>
        <w:rPr>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color w:val="000000"/>
          <w:sz w:val="22"/>
        </w:rPr>
      </w:pPr>
      <w:r>
        <w:rPr>
          <w:color w:val="000000"/>
          <w:sz w:val="22"/>
        </w:rPr>
      </w:r>
    </w:p>
    <w:p>
      <w:pPr>
        <w:pStyle w:val="Normal"/>
        <w:rPr>
          <w:color w:val="000000"/>
          <w:sz w:val="22"/>
        </w:rPr>
      </w:pPr>
      <w:r>
        <w:rPr>
          <w:color w:val="000000"/>
          <w:sz w:val="22"/>
        </w:rPr>
      </w:r>
    </w:p>
    <w:p>
      <w:pPr>
        <w:pStyle w:val="Normal"/>
        <w:jc w:val="both"/>
        <w:rPr>
          <w:bCs/>
          <w:color w:val="000000"/>
          <w:sz w:val="22"/>
        </w:rPr>
      </w:pPr>
      <w:r>
        <w:rPr>
          <w:bCs/>
          <w:color w:val="000000"/>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/mnt/main-storage/datasets/enron-docs/doc/Enron___Entergy_Master_Netting_Agreement_Version_4.doc</w:t>
    </w:r>
    <w:r>
      <w:rPr>
        <w:rStyle w:val="PageNumber"/>
        <w:sz w:val="18"/>
      </w:rPr>
      <w:fldChar w:fldCharType="end"/>
    </w:r>
  </w:p>
  <w:p>
    <w:pPr>
      <w:pStyle w:val="Footer"/>
      <w:rPr>
        <w:rStyle w:val="PageNumber"/>
        <w:sz w:val="1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color w:val="000000"/>
      <w:sz w:val="24"/>
      <w:u w:val="single"/>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character" w:styleId="FootnoteCharacters">
    <w:name w:val="Footnote Characters"/>
    <w:basedOn w:val="DefaultParagraphFont"/>
    <w:qFormat/>
    <w:rPr>
      <w:rFonts w:ascii="Times New Roman" w:hAnsi="Times New Roman" w:cs="Times New Roman"/>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FootnoteText">
    <w:name w:val="footnote text"/>
    <w:basedOn w:val="Normal"/>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2001-10-25T10:55:00Z</dcterms:created>
  <dc:creator>mcook</dc:creator>
  <dc:description/>
  <dc:language>en-CA</dc:language>
  <cp:lastModifiedBy>mcook</cp:lastModifiedBy>
  <cp:lastPrinted>2001-10-25T10:07:00Z</cp:lastPrinted>
  <dcterms:modified xsi:type="dcterms:W3CDTF">2001-10-25T14:14:00Z</dcterms:modified>
  <cp:revision>10</cp:revision>
  <dc:subject/>
  <dc:title>MASTER CROSS﷓PRODUCT NETTING AND SECURITY AGREEMENT</dc:title>
</cp:coreProperties>
</file>