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pPr>
      <w:r>
        <w:rPr/>
      </w:r>
    </w:p>
    <w:p>
      <w:pPr>
        <w:pStyle w:val="Header"/>
        <w:tabs>
          <w:tab w:val="clear" w:pos="4320"/>
          <w:tab w:val="clear" w:pos="8640"/>
        </w:tabs>
        <w:rPr/>
      </w:pPr>
      <w:r>
        <w:rPr/>
      </w:r>
    </w:p>
    <w:p>
      <w:pPr>
        <w:pStyle w:val="Header"/>
        <w:tabs>
          <w:tab w:val="clear" w:pos="4320"/>
          <w:tab w:val="clear" w:pos="8640"/>
        </w:tabs>
        <w:rPr/>
      </w:pPr>
      <w:r>
        <w:rPr/>
        <w:t>Key Deal Terms</w:t>
      </w:r>
    </w:p>
    <w:p>
      <w:pPr>
        <w:pStyle w:val="Normal"/>
        <w:numPr>
          <w:ilvl w:val="1"/>
          <w:numId w:val="7"/>
        </w:numPr>
        <w:tabs>
          <w:tab w:val="clear" w:pos="720"/>
        </w:tabs>
        <w:ind w:hanging="360" w:start="720" w:end="0"/>
        <w:rPr/>
      </w:pPr>
      <w:r>
        <w:rPr/>
        <w:t>Committed contract value of $4.1M NPV</w:t>
      </w:r>
    </w:p>
    <w:p>
      <w:pPr>
        <w:pStyle w:val="Normal"/>
        <w:numPr>
          <w:ilvl w:val="1"/>
          <w:numId w:val="7"/>
        </w:numPr>
        <w:tabs>
          <w:tab w:val="clear" w:pos="720"/>
        </w:tabs>
        <w:ind w:hanging="360" w:start="720" w:end="0"/>
        <w:rPr/>
      </w:pPr>
      <w:r>
        <w:rPr/>
        <w:t>Total revenue stream equal to 30% of TSH gross EOL driven take or $4.1M NPV, whichever is higher</w:t>
      </w:r>
    </w:p>
    <w:p>
      <w:pPr>
        <w:pStyle w:val="Normal"/>
        <w:numPr>
          <w:ilvl w:val="1"/>
          <w:numId w:val="7"/>
        </w:numPr>
        <w:tabs>
          <w:tab w:val="clear" w:pos="720"/>
        </w:tabs>
        <w:ind w:hanging="360" w:start="720" w:end="0"/>
        <w:rPr/>
      </w:pPr>
      <w:r>
        <w:rPr/>
        <w:t>Cash flow for $4.1M NPV = $250K, $1.2M, $1.5M, $1.2M, $950K totaling $5.1M over 5 years</w:t>
      </w:r>
    </w:p>
    <w:p>
      <w:pPr>
        <w:pStyle w:val="Normal"/>
        <w:numPr>
          <w:ilvl w:val="1"/>
          <w:numId w:val="7"/>
        </w:numPr>
        <w:tabs>
          <w:tab w:val="clear" w:pos="720"/>
        </w:tabs>
        <w:ind w:hanging="360" w:start="720" w:end="0"/>
        <w:rPr/>
      </w:pPr>
      <w:r>
        <w:rPr/>
        <w:t>Economics based on the following assumptions:</w:t>
      </w:r>
    </w:p>
    <w:p>
      <w:pPr>
        <w:pStyle w:val="Normal"/>
        <w:numPr>
          <w:ilvl w:val="2"/>
          <w:numId w:val="3"/>
        </w:numPr>
        <w:tabs>
          <w:tab w:val="clear" w:pos="720"/>
        </w:tabs>
        <w:ind w:hanging="360" w:start="1080" w:end="0"/>
        <w:rPr/>
      </w:pPr>
      <w:r>
        <w:rPr/>
        <w:t>Target market is 63 counterparties</w:t>
      </w:r>
    </w:p>
    <w:p>
      <w:pPr>
        <w:pStyle w:val="Normal"/>
        <w:numPr>
          <w:ilvl w:val="2"/>
          <w:numId w:val="3"/>
        </w:numPr>
        <w:tabs>
          <w:tab w:val="clear" w:pos="720"/>
        </w:tabs>
        <w:ind w:hanging="360" w:start="1080" w:end="0"/>
        <w:rPr/>
      </w:pPr>
      <w:r>
        <w:rPr/>
        <w:t>65% success rate in signing them up for TSH service</w:t>
      </w:r>
    </w:p>
    <w:p>
      <w:pPr>
        <w:pStyle w:val="Normal"/>
        <w:numPr>
          <w:ilvl w:val="2"/>
          <w:numId w:val="3"/>
        </w:numPr>
        <w:tabs>
          <w:tab w:val="clear" w:pos="720"/>
        </w:tabs>
        <w:ind w:hanging="360" w:start="1080" w:end="0"/>
        <w:rPr/>
      </w:pPr>
      <w:r>
        <w:rPr/>
        <w:t>$125K connection fee, $5K monthly TSH maintenance fee, $8 per transaction TSH usage fee</w:t>
      </w:r>
    </w:p>
    <w:p>
      <w:pPr>
        <w:pStyle w:val="Normal"/>
        <w:ind w:start="720" w:end="0"/>
        <w:rPr/>
      </w:pPr>
      <w:r>
        <w:rPr/>
      </w:r>
    </w:p>
    <w:p>
      <w:pPr>
        <w:pStyle w:val="Header"/>
        <w:tabs>
          <w:tab w:val="clear" w:pos="4320"/>
          <w:tab w:val="clear" w:pos="8640"/>
        </w:tabs>
        <w:rPr/>
      </w:pPr>
      <w:r>
        <w:rPr/>
        <w:t>Key Deal Dependencies</w:t>
      </w:r>
    </w:p>
    <w:p>
      <w:pPr>
        <w:pStyle w:val="Normal"/>
        <w:numPr>
          <w:ilvl w:val="1"/>
          <w:numId w:val="7"/>
        </w:numPr>
        <w:tabs>
          <w:tab w:val="clear" w:pos="720"/>
        </w:tabs>
        <w:ind w:hanging="360" w:start="720" w:end="0"/>
        <w:rPr>
          <w:rFonts w:ascii="Courier;Courier New" w:hAnsi="Courier;Courier New" w:cs="Courier;Courier New"/>
          <w:color w:val="000000"/>
          <w:sz w:val="20"/>
          <w:szCs w:val="20"/>
        </w:rPr>
      </w:pPr>
      <w:r>
        <w:rPr/>
        <w:t>Exclusive 3</w:t>
      </w:r>
      <w:r>
        <w:rPr>
          <w:vertAlign w:val="superscript"/>
        </w:rPr>
        <w:t>rd</w:t>
      </w:r>
      <w:r>
        <w:rPr/>
        <w:t xml:space="preserve"> party license to redistribute that data (Enron would retain right to distribute directly if party did not agree to work with Accenture. Keep whole commits apply)</w:t>
      </w:r>
    </w:p>
    <w:p>
      <w:pPr>
        <w:pStyle w:val="Normal"/>
        <w:numPr>
          <w:ilvl w:val="2"/>
          <w:numId w:val="2"/>
        </w:numPr>
        <w:tabs>
          <w:tab w:val="clear" w:pos="720"/>
        </w:tabs>
        <w:ind w:hanging="360" w:start="1080" w:end="0"/>
        <w:rPr>
          <w:color w:val="0000FF"/>
        </w:rPr>
      </w:pPr>
      <w:r>
        <w:rPr>
          <w:color w:val="0000FF"/>
          <w:szCs w:val="20"/>
        </w:rPr>
        <w:t>The keep whole commitment must be developed, but we are okay with the concept of contributing the revenue of any direct distribute deals minus our costs to the TSH</w:t>
      </w:r>
    </w:p>
    <w:p>
      <w:pPr>
        <w:pStyle w:val="Normal"/>
        <w:numPr>
          <w:ilvl w:val="2"/>
          <w:numId w:val="2"/>
        </w:numPr>
        <w:tabs>
          <w:tab w:val="clear" w:pos="720"/>
        </w:tabs>
        <w:ind w:hanging="360" w:start="1080" w:end="0"/>
        <w:rPr>
          <w:color w:val="993300"/>
        </w:rPr>
      </w:pPr>
      <w:r>
        <w:rPr>
          <w:color w:val="993300"/>
          <w:szCs w:val="20"/>
        </w:rPr>
        <w:t xml:space="preserve">We agree that the keep whole commitment must be developed. We are also fine with the concept of Enron contributing revenues to the TSH net of the costs to Enron to distribute that data as long as the contributed revenues equal the revenues the TSH otherwise would have generated (per the TSH standard price list) </w:t>
      </w:r>
    </w:p>
    <w:p>
      <w:pPr>
        <w:pStyle w:val="Normal"/>
        <w:numPr>
          <w:ilvl w:val="1"/>
          <w:numId w:val="7"/>
        </w:numPr>
        <w:tabs>
          <w:tab w:val="clear" w:pos="720"/>
        </w:tabs>
        <w:ind w:hanging="360" w:start="720" w:end="0"/>
        <w:rPr/>
      </w:pPr>
      <w:r>
        <w:rPr/>
        <w:t xml:space="preserve">5 year exclusivity with keep whole commits as we discussed.  </w:t>
      </w:r>
      <w:r>
        <w:rPr>
          <w:color w:val="993300"/>
        </w:rPr>
        <w:t>The same keep whole concept applies here and is applicable to any Enron deal that dilutes the transaction base available to the TSH for processing.  This is the keep whole provision we discussed to manage against transaction dilution deals such as Kiodex or TrueQuote or future deals such as mid and back office ASP/ BSP. In these instances, Enron will keep the TSH whole relative to lost revenues associated with the diluted transaction base.  Additionally, we would not expect Enron to have associated processing costs as in the above scenario.</w:t>
      </w:r>
    </w:p>
    <w:p>
      <w:pPr>
        <w:pStyle w:val="Normal"/>
        <w:numPr>
          <w:ilvl w:val="1"/>
          <w:numId w:val="7"/>
        </w:numPr>
        <w:tabs>
          <w:tab w:val="clear" w:pos="720"/>
        </w:tabs>
        <w:ind w:hanging="360" w:start="720" w:end="0"/>
        <w:rPr>
          <w:rFonts w:ascii="Courier;Courier New" w:hAnsi="Courier;Courier New" w:cs="Courier;Courier New"/>
          <w:color w:val="000000"/>
          <w:sz w:val="20"/>
          <w:szCs w:val="20"/>
        </w:rPr>
      </w:pPr>
      <w:r>
        <w:rPr/>
        <w:t xml:space="preserve">License is for the entire data stream; Redistribution is limited to committed counterparties </w:t>
      </w:r>
    </w:p>
    <w:p>
      <w:pPr>
        <w:pStyle w:val="Normal"/>
        <w:numPr>
          <w:ilvl w:val="2"/>
          <w:numId w:val="2"/>
        </w:numPr>
        <w:tabs>
          <w:tab w:val="clear" w:pos="720"/>
        </w:tabs>
        <w:ind w:hanging="360" w:start="1080" w:end="0"/>
        <w:rPr>
          <w:color w:val="0000FF"/>
        </w:rPr>
      </w:pPr>
      <w:r>
        <w:rPr>
          <w:color w:val="0000FF"/>
          <w:szCs w:val="20"/>
        </w:rPr>
        <w:t>We will provide Accenture with as much information as is commercially reasonable that describes the nature of the EnronOnline deal flow as it is occurring, for the purpose of aiding in marketing of the service. We cannot send the entire transaction stream containing non-subscribing entities for obvious privacy reasons</w:t>
      </w:r>
    </w:p>
    <w:p>
      <w:pPr>
        <w:pStyle w:val="Normal"/>
        <w:numPr>
          <w:ilvl w:val="2"/>
          <w:numId w:val="2"/>
        </w:numPr>
        <w:tabs>
          <w:tab w:val="clear" w:pos="720"/>
        </w:tabs>
        <w:ind w:hanging="360" w:start="1080" w:end="0"/>
        <w:rPr>
          <w:color w:val="993300"/>
        </w:rPr>
      </w:pPr>
      <w:r>
        <w:rPr>
          <w:color w:val="993300"/>
          <w:szCs w:val="20"/>
        </w:rPr>
        <w:t>We are okay with this, but need to understand “commercially reasonable” so that we can determine if the information to be supplied actually facilitates the market analysis that we need to do (both in terms of level of detail and amount of information supplied). Understanding that there can be a wide range of privacy issues depending on the actual Enron counterparty agreement, we would like to see these agreements to understand the boundaries and (or) limitations that apply here (this will probably be required during contractual negotiations anyway).</w:t>
      </w:r>
    </w:p>
    <w:p>
      <w:pPr>
        <w:pStyle w:val="Normal"/>
        <w:numPr>
          <w:ilvl w:val="1"/>
          <w:numId w:val="7"/>
        </w:numPr>
        <w:tabs>
          <w:tab w:val="clear" w:pos="720"/>
        </w:tabs>
        <w:ind w:hanging="360" w:start="720" w:end="0"/>
        <w:rPr/>
      </w:pPr>
      <w:r>
        <w:rPr/>
        <w:t>EOL discloses to Accenture full list of 63 customers with related EOL business statistics (# transactions per month, volumes, etc.)</w:t>
      </w:r>
    </w:p>
    <w:p>
      <w:pPr>
        <w:pStyle w:val="Normal"/>
        <w:numPr>
          <w:ilvl w:val="1"/>
          <w:numId w:val="7"/>
        </w:numPr>
        <w:tabs>
          <w:tab w:val="clear" w:pos="720"/>
        </w:tabs>
        <w:ind w:hanging="360" w:start="720" w:end="0"/>
        <w:rPr/>
      </w:pPr>
      <w:r>
        <w:rPr/>
        <w:t>EOL discloses EOL transaction data layout in its entirety with business descriptions of field content</w:t>
      </w:r>
    </w:p>
    <w:p>
      <w:pPr>
        <w:pStyle w:val="Normal"/>
        <w:numPr>
          <w:ilvl w:val="1"/>
          <w:numId w:val="7"/>
        </w:numPr>
        <w:tabs>
          <w:tab w:val="clear" w:pos="720"/>
        </w:tabs>
        <w:ind w:hanging="360" w:start="720" w:end="0"/>
        <w:rPr/>
      </w:pPr>
      <w:r>
        <w:rPr/>
        <w:t>EOL technology asset is a part of the deal</w:t>
      </w:r>
    </w:p>
    <w:p>
      <w:pPr>
        <w:pStyle w:val="Normal"/>
        <w:numPr>
          <w:ilvl w:val="0"/>
          <w:numId w:val="6"/>
        </w:numPr>
        <w:tabs>
          <w:tab w:val="clear" w:pos="720"/>
        </w:tabs>
        <w:ind w:hanging="360" w:start="1080" w:end="0"/>
        <w:rPr>
          <w:color w:val="000000"/>
          <w:szCs w:val="20"/>
        </w:rPr>
      </w:pPr>
      <w:r>
        <w:rPr/>
        <w:t>EOL retains Intellectual Property Rights (IPR) to ‘Transaction Data Feed’ software</w:t>
      </w:r>
    </w:p>
    <w:p>
      <w:pPr>
        <w:pStyle w:val="Normal"/>
        <w:numPr>
          <w:ilvl w:val="0"/>
          <w:numId w:val="6"/>
        </w:numPr>
        <w:tabs>
          <w:tab w:val="clear" w:pos="720"/>
        </w:tabs>
        <w:ind w:hanging="360" w:start="1080" w:end="0"/>
        <w:rPr>
          <w:color w:val="0000FF"/>
          <w:szCs w:val="20"/>
        </w:rPr>
      </w:pPr>
      <w:r>
        <w:rPr>
          <w:color w:val="0000FF"/>
          <w:szCs w:val="20"/>
        </w:rPr>
        <w:t xml:space="preserve">Enron grants Accenture a fully paid-up, royalty-free, non-exclusive, perpetual, worldwide, non-assignable license to 'Smart Client' software.  Accenture is free to develop the 'Smart Client' code and reuse it for any purpose related to the operation of an Energy Transaction Support Hub, but Enron retains IPR to all code provided by Enron within the context of this arrangement. </w:t>
      </w:r>
    </w:p>
    <w:p>
      <w:pPr>
        <w:pStyle w:val="Normal"/>
        <w:numPr>
          <w:ilvl w:val="0"/>
          <w:numId w:val="6"/>
        </w:numPr>
        <w:tabs>
          <w:tab w:val="clear" w:pos="720"/>
        </w:tabs>
        <w:ind w:hanging="360" w:start="1080" w:end="0"/>
        <w:rPr>
          <w:color w:val="0000FF"/>
        </w:rPr>
      </w:pPr>
      <w:r>
        <w:rPr>
          <w:color w:val="0000FF"/>
          <w:szCs w:val="20"/>
        </w:rPr>
        <w:t>EnronOnline provides interface descriptions, design documentation and the actual code for the ‘Smart Client' software.</w:t>
      </w:r>
    </w:p>
    <w:p>
      <w:pPr>
        <w:pStyle w:val="Normal"/>
        <w:numPr>
          <w:ilvl w:val="2"/>
          <w:numId w:val="4"/>
        </w:numPr>
        <w:tabs>
          <w:tab w:val="clear" w:pos="720"/>
        </w:tabs>
        <w:ind w:hanging="360" w:start="720" w:end="0"/>
        <w:rPr/>
      </w:pPr>
      <w:r>
        <w:rPr/>
        <w:t>TIBCO is our TSH technology partner</w:t>
      </w:r>
    </w:p>
    <w:p>
      <w:pPr>
        <w:pStyle w:val="Normal"/>
        <w:numPr>
          <w:ilvl w:val="2"/>
          <w:numId w:val="4"/>
        </w:numPr>
        <w:tabs>
          <w:tab w:val="clear" w:pos="720"/>
        </w:tabs>
        <w:ind w:hanging="360" w:start="720" w:end="0"/>
        <w:rPr/>
      </w:pPr>
      <w:r>
        <w:rPr/>
        <w:t>Balance of the three remaining weeks</w:t>
      </w:r>
    </w:p>
    <w:p>
      <w:pPr>
        <w:pStyle w:val="Normal"/>
        <w:numPr>
          <w:ilvl w:val="3"/>
          <w:numId w:val="4"/>
        </w:numPr>
        <w:tabs>
          <w:tab w:val="clear" w:pos="720"/>
        </w:tabs>
        <w:ind w:hanging="360" w:start="1080" w:end="0"/>
        <w:rPr>
          <w:rFonts w:ascii="Courier;Courier New" w:hAnsi="Courier;Courier New" w:cs="Courier;Courier New"/>
          <w:color w:val="000000"/>
          <w:sz w:val="20"/>
          <w:szCs w:val="20"/>
        </w:rPr>
      </w:pPr>
      <w:r>
        <w:rPr/>
        <w:t>3 customers to commit</w:t>
      </w:r>
    </w:p>
    <w:p>
      <w:pPr>
        <w:pStyle w:val="Normal"/>
        <w:numPr>
          <w:ilvl w:val="3"/>
          <w:numId w:val="4"/>
        </w:numPr>
        <w:tabs>
          <w:tab w:val="clear" w:pos="720"/>
        </w:tabs>
        <w:ind w:hanging="360" w:start="1080" w:end="0"/>
        <w:rPr>
          <w:rFonts w:ascii="Courier;Courier New" w:hAnsi="Courier;Courier New" w:cs="Courier;Courier New"/>
          <w:color w:val="000000"/>
          <w:sz w:val="20"/>
          <w:szCs w:val="20"/>
        </w:rPr>
      </w:pPr>
      <w:r>
        <w:rPr/>
        <w:t>Validate that we are not off base. This means that we are not wholly off base on our assumptions re: market interest, pricing tolerances, etc.</w:t>
      </w:r>
    </w:p>
    <w:p>
      <w:pPr>
        <w:pStyle w:val="Normal"/>
        <w:numPr>
          <w:ilvl w:val="3"/>
          <w:numId w:val="5"/>
        </w:numPr>
        <w:tabs>
          <w:tab w:val="clear" w:pos="720"/>
        </w:tabs>
        <w:ind w:hanging="360" w:start="1440" w:end="0"/>
        <w:rPr>
          <w:color w:val="0000FF"/>
        </w:rPr>
      </w:pPr>
      <w:r>
        <w:rPr>
          <w:color w:val="0000FF"/>
        </w:rPr>
        <w:t>The "Validate we are not off base..." dependency is irrelevant. Accenture has had six weeks to validate that. The three customer hurdle presumably does that. Our firm understanding of Accenture's position, stated by Kenny, is that if Accenture gets 3 customers to verbally commit, then we are done. We would strongly prefer that Accenture scrap the 3 customer litmus test, and move forward with the transaction based on the recognized value of the offering and the many other value factors for Accenture that have been previously discussed</w:t>
      </w:r>
    </w:p>
    <w:p>
      <w:pPr>
        <w:pStyle w:val="Normal"/>
        <w:numPr>
          <w:ilvl w:val="3"/>
          <w:numId w:val="5"/>
        </w:numPr>
        <w:tabs>
          <w:tab w:val="clear" w:pos="720"/>
        </w:tabs>
        <w:ind w:hanging="360" w:start="1440" w:end="0"/>
        <w:rPr>
          <w:color w:val="993300"/>
        </w:rPr>
      </w:pPr>
      <w:r>
        <w:rPr>
          <w:color w:val="993300"/>
        </w:rPr>
        <w:t>We agree that the three customer hurdle presumably does this unless we have to reduce our pricing materially to get the three to sign-up.  If this happens, then we must reevaluate the intrinsic value of this service and the ability to get a return on the assets Accenture is investing in (both the Enron data license asset as well as the additional expense that Accenture will incur to market, sell, design, build, maintain, and operate this service ~ $15M over and above the data feed cost)</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sz w:val="32"/>
      </w:rPr>
    </w:pPr>
    <w:r>
      <w:rPr>
        <w:sz w:val="32"/>
      </w:rPr>
      <w:t>Enron – Accenture Proposed Deal Sheet</w:t>
    </w:r>
  </w:p>
  <w:p>
    <w:pPr>
      <w:pStyle w:val="Heading1"/>
      <w:ind w:hanging="0" w:start="0"/>
      <w:jc w:val="center"/>
      <w:rPr>
        <w:sz w:val="32"/>
      </w:rPr>
    </w:pPr>
    <w:r>
      <w:rPr>
        <w:sz w:val="32"/>
      </w:rPr>
      <w:t>Transaction Support Hub</w:t>
    </w:r>
  </w:p>
  <w:p>
    <w:pPr>
      <w:pStyle w:val="Header"/>
      <w:jc w:val="center"/>
      <w:rPr>
        <w:b/>
        <w:bCs/>
        <w:sz w:val="32"/>
      </w:rPr>
    </w:pPr>
    <w:r>
      <w:rPr>
        <w:b/>
        <w:bCs/>
        <w:sz w:val="32"/>
      </w:rPr>
      <w:fldChar w:fldCharType="begin"/>
    </w:r>
    <w:r>
      <w:rPr>
        <w:sz w:val="32"/>
        <w:b/>
        <w:bCs/>
      </w:rPr>
      <w:instrText xml:space="preserve"> DATE \@"M\/d\/yyyy" </w:instrText>
    </w:r>
    <w:r>
      <w:rPr>
        <w:sz w:val="32"/>
        <w:b/>
        <w:bCs/>
      </w:rPr>
      <w:fldChar w:fldCharType="separate"/>
    </w:r>
    <w:r>
      <w:rPr>
        <w:sz w:val="32"/>
        <w:b/>
        <w:bCs/>
      </w:rPr>
      <w:t>9/28/2025</w:t>
    </w:r>
    <w:r>
      <w:rPr>
        <w:sz w:val="32"/>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0"/>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o"/>
      <w:lvlJc w:val="start"/>
      <w:pPr>
        <w:tabs>
          <w:tab w:val="num" w:pos="2880"/>
        </w:tabs>
        <w:ind w:start="2880" w:hanging="360"/>
      </w:pPr>
      <w:rPr>
        <w:rFonts w:ascii="Courier New" w:hAnsi="Courier New" w:cs="Courier New"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0"/>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5">
    <w:name w:val="WW8Num4z5"/>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5">
    <w:name w:val="WW8Num6z5"/>
    <w:qFormat/>
    <w:rPr>
      <w:rFonts w:ascii="Wingdings" w:hAnsi="Wingdings" w:eastAsia="Times New Roman" w:cs="Times New Roman"/>
    </w:rPr>
  </w:style>
  <w:style w:type="character" w:styleId="WW8Num6z8">
    <w:name w:val="WW8Num6z8"/>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5">
    <w:name w:val="WW8Num7z5"/>
    <w:qFormat/>
    <w:rPr>
      <w:rFonts w:ascii="Wingdings" w:hAnsi="Wingdings" w:eastAsia="Times New Roman" w:cs="Times New Roman"/>
    </w:rPr>
  </w:style>
  <w:style w:type="character" w:styleId="WW8Num7z8">
    <w:name w:val="WW8Num7z8"/>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2001-04-22T13:15:00Z</dcterms:created>
  <dc:creator>Dave Samuels</dc:creator>
  <dc:description/>
  <dc:language>en-CA</dc:language>
  <cp:lastModifiedBy>Peggy A. Kostial</cp:lastModifiedBy>
  <cp:lastPrinted>2001-04-17T13:43:00Z</cp:lastPrinted>
  <dcterms:modified xsi:type="dcterms:W3CDTF">2001-04-22T14:47:00Z</dcterms:modified>
  <cp:revision>5</cp:revision>
  <dc:subject/>
  <dc:title>Transaction Support Hub</dc:title>
</cp:coreProperties>
</file>