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November 12, 2001</w:t>
      </w:r>
    </w:p>
    <w:p>
      <w:pPr>
        <w:pStyle w:val="Normal"/>
        <w:rPr/>
      </w:pPr>
      <w:r>
        <w:rPr/>
      </w:r>
    </w:p>
    <w:p>
      <w:pPr>
        <w:pStyle w:val="Normal"/>
        <w:rPr/>
      </w:pPr>
      <w:r>
        <w:rPr/>
      </w:r>
    </w:p>
    <w:p>
      <w:pPr>
        <w:pStyle w:val="Normal"/>
        <w:rPr/>
      </w:pPr>
      <w:r>
        <w:rPr/>
        <w:t>Mr. Reagan C. Rorschach</w:t>
      </w:r>
    </w:p>
    <w:p>
      <w:pPr>
        <w:pStyle w:val="Normal"/>
        <w:rPr/>
      </w:pPr>
      <w:r>
        <w:rPr/>
        <w:t>East Power Trading, EPMI</w:t>
      </w:r>
    </w:p>
    <w:p>
      <w:pPr>
        <w:pStyle w:val="Normal"/>
        <w:rPr/>
      </w:pPr>
      <w:r>
        <w:rPr/>
        <w:t>Enron Power Marketing, Inc.</w:t>
      </w:r>
    </w:p>
    <w:p>
      <w:pPr>
        <w:pStyle w:val="Normal"/>
        <w:rPr/>
      </w:pPr>
      <w:r>
        <w:rPr/>
        <w:t>1400 Smith Street</w:t>
      </w:r>
    </w:p>
    <w:p>
      <w:pPr>
        <w:pStyle w:val="Normal"/>
        <w:rPr/>
      </w:pPr>
      <w:r>
        <w:rPr/>
        <w:t>P. O. Box 1188</w:t>
      </w:r>
    </w:p>
    <w:p>
      <w:pPr>
        <w:pStyle w:val="Normal"/>
        <w:rPr/>
      </w:pPr>
      <w:r>
        <w:rPr/>
        <w:t xml:space="preserve">Houston, TX  77251-1188 </w:t>
      </w:r>
    </w:p>
    <w:p>
      <w:pPr>
        <w:pStyle w:val="Normal"/>
        <w:rPr/>
      </w:pPr>
      <w:r>
        <w:rPr/>
      </w:r>
    </w:p>
    <w:p>
      <w:pPr>
        <w:pStyle w:val="Normal"/>
        <w:rPr/>
      </w:pPr>
      <w:r>
        <w:rPr/>
        <w:t>RE: Cities of North Little Rock and Benton Purchase Power RFP</w:t>
      </w:r>
    </w:p>
    <w:p>
      <w:pPr>
        <w:pStyle w:val="Normal"/>
        <w:rPr/>
      </w:pPr>
      <w:r>
        <w:rPr/>
      </w:r>
    </w:p>
    <w:p>
      <w:pPr>
        <w:pStyle w:val="Normal"/>
        <w:rPr/>
      </w:pPr>
      <w:r>
        <w:rPr/>
        <w:t>Dear Mr. Rorschach:</w:t>
      </w:r>
    </w:p>
    <w:p>
      <w:pPr>
        <w:pStyle w:val="Normal"/>
        <w:rPr/>
      </w:pPr>
      <w:r>
        <w:rPr/>
      </w:r>
    </w:p>
    <w:p>
      <w:pPr>
        <w:pStyle w:val="Normal"/>
        <w:rPr/>
      </w:pPr>
      <w:r>
        <w:rPr/>
        <w:t xml:space="preserve">Pursuant to paragraph 3 of Mayor Hays November 2, 2001 letter, establishing the process the City of North Little Rock would follow in concluding the RFP process, this letter is to inform you of your proposal(s) relative position in relation to the proposal(s) the Negotiation Committees have identified for contract negotiations.  </w:t>
      </w:r>
    </w:p>
    <w:p>
      <w:pPr>
        <w:pStyle w:val="Normal"/>
        <w:rPr/>
      </w:pPr>
      <w:r>
        <w:rPr/>
      </w:r>
    </w:p>
    <w:p>
      <w:pPr>
        <w:pStyle w:val="Normal"/>
        <w:rPr/>
      </w:pPr>
      <w:r>
        <w:rPr/>
        <w:t>The Cities of North Little Rock and Benton (Cities) evaluated nine (9) proposals as part of the RFP process.  Bidders were not precluded from submitting multiple proposals and some chose, at differing points in the process, to submit alternative proposals to address particular preferences by the Cities.</w:t>
      </w:r>
    </w:p>
    <w:p>
      <w:pPr>
        <w:pStyle w:val="Normal"/>
        <w:rPr/>
      </w:pPr>
      <w:r>
        <w:rPr/>
      </w:r>
    </w:p>
    <w:p>
      <w:pPr>
        <w:pStyle w:val="Normal"/>
        <w:rPr/>
      </w:pPr>
      <w:r>
        <w:rPr/>
        <w:t>The following table describes how your proposal ranked overall in comparison to the nine (9) proposals evaluated.</w:t>
      </w:r>
    </w:p>
    <w:p>
      <w:pPr>
        <w:pStyle w:val="Normal"/>
        <w:rPr/>
      </w:pPr>
      <w:r>
        <w:rPr/>
      </w:r>
    </w:p>
    <w:tbl>
      <w:tblPr>
        <w:tblW w:w="8568" w:type="dxa"/>
        <w:jc w:val="start"/>
        <w:tblInd w:w="288" w:type="dxa"/>
        <w:tblLayout w:type="fixed"/>
        <w:tblCellMar>
          <w:top w:w="0" w:type="dxa"/>
          <w:start w:w="108" w:type="dxa"/>
          <w:bottom w:w="0" w:type="dxa"/>
          <w:end w:w="108" w:type="dxa"/>
        </w:tblCellMar>
      </w:tblPr>
      <w:tblGrid>
        <w:gridCol w:w="1743"/>
        <w:gridCol w:w="2216"/>
        <w:gridCol w:w="2253"/>
        <w:gridCol w:w="2356"/>
      </w:tblGrid>
      <w:tr>
        <w:trPr/>
        <w:tc>
          <w:tcPr>
            <w:tcW w:w="17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rPr>
            </w:pPr>
            <w:r>
              <w:rPr>
                <w:b/>
                <w:bCs/>
              </w:rPr>
            </w:r>
            <w:bookmarkStart w:id="0" w:name="_Hlk530194090"/>
            <w:bookmarkStart w:id="1" w:name="OLE_LINK2"/>
            <w:bookmarkStart w:id="2" w:name="OLE_LINK1"/>
            <w:bookmarkStart w:id="3" w:name="_Hlk530194090"/>
            <w:bookmarkStart w:id="4" w:name="OLE_LINK2"/>
            <w:bookmarkStart w:id="5" w:name="OLE_LINK1"/>
            <w:bookmarkEnd w:id="3"/>
            <w:bookmarkEnd w:id="4"/>
            <w:bookmarkEnd w:id="5"/>
          </w:p>
        </w:tc>
        <w:tc>
          <w:tcPr>
            <w:tcW w:w="221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North Little Rock</w:t>
            </w:r>
          </w:p>
        </w:tc>
        <w:tc>
          <w:tcPr>
            <w:tcW w:w="2253"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Benton</w:t>
            </w:r>
          </w:p>
        </w:tc>
        <w:tc>
          <w:tcPr>
            <w:tcW w:w="235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Combined</w:t>
            </w:r>
          </w:p>
        </w:tc>
      </w:tr>
      <w:tr>
        <w:trPr/>
        <w:tc>
          <w:tcPr>
            <w:tcW w:w="1743" w:type="dxa"/>
            <w:tcBorders>
              <w:top w:val="single" w:sz="4" w:space="0" w:color="000000"/>
              <w:start w:val="single" w:sz="4" w:space="0" w:color="000000"/>
              <w:bottom w:val="single" w:sz="4" w:space="0" w:color="000000"/>
              <w:end w:val="single" w:sz="4" w:space="0" w:color="000000"/>
            </w:tcBorders>
          </w:tcPr>
          <w:p>
            <w:pPr>
              <w:pStyle w:val="Normal"/>
              <w:rPr/>
            </w:pPr>
            <w:r>
              <w:rPr/>
              <w:t>Proposal</w:t>
            </w:r>
          </w:p>
        </w:tc>
        <w:tc>
          <w:tcPr>
            <w:tcW w:w="2216" w:type="dxa"/>
            <w:tcBorders>
              <w:top w:val="single" w:sz="4" w:space="0" w:color="000000"/>
              <w:start w:val="single" w:sz="4" w:space="0" w:color="000000"/>
              <w:bottom w:val="single" w:sz="4" w:space="0" w:color="000000"/>
              <w:end w:val="single" w:sz="4" w:space="0" w:color="000000"/>
            </w:tcBorders>
          </w:tcPr>
          <w:p>
            <w:pPr>
              <w:pStyle w:val="Normal"/>
              <w:jc w:val="center"/>
              <w:rPr/>
            </w:pPr>
            <w:r>
              <w:rPr/>
              <w:t>4/9</w:t>
            </w:r>
          </w:p>
        </w:tc>
        <w:tc>
          <w:tcPr>
            <w:tcW w:w="2253" w:type="dxa"/>
            <w:tcBorders>
              <w:top w:val="single" w:sz="4" w:space="0" w:color="000000"/>
              <w:start w:val="single" w:sz="4" w:space="0" w:color="000000"/>
              <w:bottom w:val="single" w:sz="4" w:space="0" w:color="000000"/>
              <w:end w:val="single" w:sz="4" w:space="0" w:color="000000"/>
            </w:tcBorders>
          </w:tcPr>
          <w:p>
            <w:pPr>
              <w:pStyle w:val="Normal"/>
              <w:jc w:val="center"/>
              <w:rPr/>
            </w:pPr>
            <w:r>
              <w:rPr/>
              <w:t>4/9</w:t>
            </w:r>
          </w:p>
        </w:tc>
        <w:tc>
          <w:tcPr>
            <w:tcW w:w="2356" w:type="dxa"/>
            <w:tcBorders>
              <w:top w:val="single" w:sz="4" w:space="0" w:color="000000"/>
              <w:start w:val="single" w:sz="4" w:space="0" w:color="000000"/>
              <w:bottom w:val="single" w:sz="4" w:space="0" w:color="000000"/>
              <w:end w:val="single" w:sz="4" w:space="0" w:color="000000"/>
            </w:tcBorders>
          </w:tcPr>
          <w:p>
            <w:pPr>
              <w:pStyle w:val="Normal"/>
              <w:jc w:val="center"/>
              <w:rPr/>
            </w:pPr>
            <w:r>
              <w:rPr/>
              <w:t>4/9</w:t>
            </w:r>
          </w:p>
        </w:tc>
      </w:tr>
    </w:tbl>
    <w:p>
      <w:pPr>
        <w:pStyle w:val="Normal"/>
        <w:rPr/>
      </w:pPr>
      <w:r>
        <w:rPr/>
      </w:r>
    </w:p>
    <w:p>
      <w:pPr>
        <w:pStyle w:val="Normal"/>
        <w:rPr/>
      </w:pPr>
      <w:r>
        <w:rPr/>
      </w:r>
    </w:p>
    <w:p>
      <w:pPr>
        <w:pStyle w:val="Normal"/>
        <w:rPr>
          <w:u w:val="single"/>
        </w:rPr>
      </w:pPr>
      <w:r>
        <w:rPr>
          <w:u w:val="single"/>
        </w:rPr>
        <w:t>Price Rating</w:t>
      </w:r>
    </w:p>
    <w:p>
      <w:pPr>
        <w:pStyle w:val="Normal"/>
        <w:rPr>
          <w:u w:val="single"/>
        </w:rPr>
      </w:pPr>
      <w:r>
        <w:rPr>
          <w:u w:val="single"/>
        </w:rPr>
      </w:r>
    </w:p>
    <w:p>
      <w:pPr>
        <w:pStyle w:val="Normal"/>
        <w:rPr/>
      </w:pPr>
      <w:r>
        <w:rPr/>
        <w:t xml:space="preserve">Proposals were evaluated on the basis of price and non-price factors.  In the evaluation, price was given a weight of 60 points while non-price factors were given a weight of 40 points.  With regard to price, however, it was possible for a proposal to receive greater than 60 points.  All price proposals were reduce to a cost per MWh.  Proposal price was compared to the price of a benchmark case and a fixed number of points were awarded for every percent the proposal savings was below a target savings identified by the Cities.  </w:t>
      </w:r>
    </w:p>
    <w:p>
      <w:pPr>
        <w:pStyle w:val="Normal"/>
        <w:rPr/>
      </w:pPr>
      <w:r>
        <w:rPr/>
      </w:r>
    </w:p>
    <w:p>
      <w:pPr>
        <w:pStyle w:val="Normal"/>
        <w:rPr/>
      </w:pPr>
      <w:r>
        <w:rPr/>
        <w:t>The following table describes how your proposal ranked in price as compared to the other proposals evaluated.</w:t>
      </w:r>
    </w:p>
    <w:p>
      <w:pPr>
        <w:pStyle w:val="Normal"/>
        <w:rPr/>
      </w:pPr>
      <w:r>
        <w:rPr/>
      </w:r>
    </w:p>
    <w:p>
      <w:pPr>
        <w:pStyle w:val="Normal"/>
        <w:rPr/>
      </w:pPr>
      <w:r>
        <w:rPr/>
      </w:r>
    </w:p>
    <w:p>
      <w:pPr>
        <w:pStyle w:val="Normal"/>
        <w:rPr/>
      </w:pPr>
      <w:r>
        <w:rPr/>
      </w:r>
    </w:p>
    <w:tbl>
      <w:tblPr>
        <w:tblW w:w="8568" w:type="dxa"/>
        <w:jc w:val="start"/>
        <w:tblInd w:w="288" w:type="dxa"/>
        <w:tblLayout w:type="fixed"/>
        <w:tblCellMar>
          <w:top w:w="0" w:type="dxa"/>
          <w:start w:w="108" w:type="dxa"/>
          <w:bottom w:w="0" w:type="dxa"/>
          <w:end w:w="108" w:type="dxa"/>
        </w:tblCellMar>
      </w:tblPr>
      <w:tblGrid>
        <w:gridCol w:w="1743"/>
        <w:gridCol w:w="2216"/>
        <w:gridCol w:w="2253"/>
        <w:gridCol w:w="2356"/>
      </w:tblGrid>
      <w:tr>
        <w:trPr/>
        <w:tc>
          <w:tcPr>
            <w:tcW w:w="17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rPr>
            </w:pPr>
            <w:r>
              <w:rPr>
                <w:b/>
                <w:bCs/>
              </w:rPr>
            </w:r>
          </w:p>
        </w:tc>
        <w:tc>
          <w:tcPr>
            <w:tcW w:w="221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North Little Rock</w:t>
            </w:r>
          </w:p>
        </w:tc>
        <w:tc>
          <w:tcPr>
            <w:tcW w:w="2253"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Benton</w:t>
            </w:r>
          </w:p>
        </w:tc>
        <w:tc>
          <w:tcPr>
            <w:tcW w:w="235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Combined</w:t>
            </w:r>
          </w:p>
        </w:tc>
      </w:tr>
      <w:tr>
        <w:trPr/>
        <w:tc>
          <w:tcPr>
            <w:tcW w:w="1743" w:type="dxa"/>
            <w:tcBorders>
              <w:top w:val="single" w:sz="4" w:space="0" w:color="000000"/>
              <w:start w:val="single" w:sz="4" w:space="0" w:color="000000"/>
              <w:bottom w:val="single" w:sz="4" w:space="0" w:color="000000"/>
              <w:end w:val="single" w:sz="4" w:space="0" w:color="000000"/>
            </w:tcBorders>
          </w:tcPr>
          <w:p>
            <w:pPr>
              <w:pStyle w:val="Normal"/>
              <w:rPr/>
            </w:pPr>
            <w:r>
              <w:rPr/>
              <w:t>Proposal</w:t>
            </w:r>
          </w:p>
        </w:tc>
        <w:tc>
          <w:tcPr>
            <w:tcW w:w="2216" w:type="dxa"/>
            <w:tcBorders>
              <w:top w:val="single" w:sz="4" w:space="0" w:color="000000"/>
              <w:start w:val="single" w:sz="4" w:space="0" w:color="000000"/>
              <w:bottom w:val="single" w:sz="4" w:space="0" w:color="000000"/>
              <w:end w:val="single" w:sz="4" w:space="0" w:color="000000"/>
            </w:tcBorders>
          </w:tcPr>
          <w:p>
            <w:pPr>
              <w:pStyle w:val="Normal"/>
              <w:jc w:val="center"/>
              <w:rPr/>
            </w:pPr>
            <w:r>
              <w:rPr/>
              <w:t>4/9</w:t>
            </w:r>
          </w:p>
        </w:tc>
        <w:tc>
          <w:tcPr>
            <w:tcW w:w="2253" w:type="dxa"/>
            <w:tcBorders>
              <w:top w:val="single" w:sz="4" w:space="0" w:color="000000"/>
              <w:start w:val="single" w:sz="4" w:space="0" w:color="000000"/>
              <w:bottom w:val="single" w:sz="4" w:space="0" w:color="000000"/>
              <w:end w:val="single" w:sz="4" w:space="0" w:color="000000"/>
            </w:tcBorders>
          </w:tcPr>
          <w:p>
            <w:pPr>
              <w:pStyle w:val="Normal"/>
              <w:jc w:val="center"/>
              <w:rPr/>
            </w:pPr>
            <w:r>
              <w:rPr/>
              <w:t>4/9</w:t>
            </w:r>
          </w:p>
        </w:tc>
        <w:tc>
          <w:tcPr>
            <w:tcW w:w="2356" w:type="dxa"/>
            <w:tcBorders>
              <w:top w:val="single" w:sz="4" w:space="0" w:color="000000"/>
              <w:start w:val="single" w:sz="4" w:space="0" w:color="000000"/>
              <w:bottom w:val="single" w:sz="4" w:space="0" w:color="000000"/>
              <w:end w:val="single" w:sz="4" w:space="0" w:color="000000"/>
            </w:tcBorders>
          </w:tcPr>
          <w:p>
            <w:pPr>
              <w:pStyle w:val="Normal"/>
              <w:jc w:val="center"/>
              <w:rPr/>
            </w:pPr>
            <w:r>
              <w:rPr/>
              <w:t>4/9</w:t>
            </w:r>
          </w:p>
        </w:tc>
      </w:tr>
    </w:tbl>
    <w:p>
      <w:pPr>
        <w:pStyle w:val="Normal"/>
        <w:rPr>
          <w:u w:val="single"/>
        </w:rPr>
      </w:pPr>
      <w:r>
        <w:rPr>
          <w:u w:val="single"/>
        </w:rPr>
      </w:r>
    </w:p>
    <w:p>
      <w:pPr>
        <w:pStyle w:val="Normal"/>
        <w:rPr>
          <w:u w:val="single"/>
        </w:rPr>
      </w:pPr>
      <w:r>
        <w:rPr>
          <w:u w:val="single"/>
        </w:rPr>
      </w:r>
    </w:p>
    <w:p>
      <w:pPr>
        <w:pStyle w:val="Normal"/>
        <w:rPr>
          <w:u w:val="single"/>
        </w:rPr>
      </w:pPr>
      <w:r>
        <w:rPr>
          <w:u w:val="single"/>
        </w:rPr>
        <w:t>Non-Price Rating</w:t>
      </w:r>
    </w:p>
    <w:p>
      <w:pPr>
        <w:pStyle w:val="Normal"/>
        <w:rPr>
          <w:u w:val="single"/>
        </w:rPr>
      </w:pPr>
      <w:r>
        <w:rPr>
          <w:u w:val="single"/>
        </w:rPr>
      </w:r>
    </w:p>
    <w:p>
      <w:pPr>
        <w:pStyle w:val="BlockText"/>
        <w:keepNext w:val="true"/>
        <w:keepLines/>
        <w:spacing w:lineRule="auto" w:line="240" w:before="0" w:after="0"/>
        <w:ind w:start="0" w:end="86"/>
        <w:jc w:val="start"/>
        <w:rPr>
          <w:rFonts w:ascii="Times New Roman" w:hAnsi="Times New Roman" w:cs="Times New Roman"/>
          <w:sz w:val="22"/>
        </w:rPr>
      </w:pPr>
      <w:r>
        <w:rPr>
          <w:rFonts w:cs="Times New Roman" w:ascii="Times New Roman" w:hAnsi="Times New Roman"/>
          <w:sz w:val="22"/>
        </w:rPr>
        <w:t>The components of each Proposal will be compared to the non-price criteria preferences of the City and a score will be assigned to each criteria for each Proposal evaluated.  Non-price scores will be added to price related scores to obtain an overall ranking.  The lowest cost Proposal may not necessarily be selected.  The following non-price criteria will be used to evaluate the Proposals.</w:t>
      </w:r>
    </w:p>
    <w:p>
      <w:pPr>
        <w:pStyle w:val="Normal"/>
        <w:ind w:start="720" w:end="86"/>
        <w:rPr>
          <w:rFonts w:ascii="Times New Roman" w:hAnsi="Times New Roman" w:cs="Times New Roman"/>
          <w:b/>
          <w:sz w:val="22"/>
        </w:rPr>
      </w:pPr>
      <w:r>
        <w:rPr>
          <w:rFonts w:cs="Times New Roman"/>
          <w:b/>
          <w:sz w:val="22"/>
        </w:rPr>
      </w:r>
    </w:p>
    <w:p>
      <w:pPr>
        <w:pStyle w:val="Normal"/>
        <w:numPr>
          <w:ilvl w:val="0"/>
          <w:numId w:val="2"/>
        </w:numPr>
        <w:tabs>
          <w:tab w:val="clear" w:pos="720"/>
        </w:tabs>
        <w:ind w:hanging="360" w:start="1080" w:end="86"/>
        <w:rPr/>
      </w:pPr>
      <w:r>
        <w:rPr>
          <w:b/>
        </w:rPr>
        <w:t>Components of Power Cost</w:t>
      </w:r>
      <w:r>
        <w:rPr/>
        <w:t xml:space="preserve"> – A one part rate in $/MWh is preferred and will be given a higher weight than a multiple or variable cost structure. </w:t>
      </w:r>
    </w:p>
    <w:p>
      <w:pPr>
        <w:pStyle w:val="Normal"/>
        <w:ind w:start="1080" w:end="86"/>
        <w:rPr>
          <w:b/>
        </w:rPr>
      </w:pPr>
      <w:r>
        <w:rPr>
          <w:b/>
        </w:rPr>
      </w:r>
    </w:p>
    <w:p>
      <w:pPr>
        <w:pStyle w:val="Normal"/>
        <w:numPr>
          <w:ilvl w:val="0"/>
          <w:numId w:val="3"/>
        </w:numPr>
        <w:tabs>
          <w:tab w:val="clear" w:pos="720"/>
        </w:tabs>
        <w:ind w:hanging="360" w:start="1080" w:end="86"/>
        <w:rPr>
          <w:b/>
        </w:rPr>
      </w:pPr>
      <w:r>
        <w:rPr>
          <w:b/>
        </w:rPr>
        <w:t>Flexibility -</w:t>
      </w:r>
      <w:r>
        <w:rPr/>
        <w:t xml:space="preserve"> The City prefers flexible Proposals with reasonable notice provisions that give the City sole rights (e.g., adjust the contract term, the amount of purchases, type of purchase, payment provisions, etc.).  Proposals are also preferred which do not impose constraints with respect to load factor, maximum or minimum demand, etc., which do provide “peak shaving” rights and the ability to add or purchase generation during the contract term. </w:t>
      </w:r>
    </w:p>
    <w:p>
      <w:pPr>
        <w:pStyle w:val="Normal"/>
        <w:tabs>
          <w:tab w:val="clear" w:pos="720"/>
          <w:tab w:val="left" w:pos="1080" w:leader="none"/>
        </w:tabs>
        <w:ind w:start="1080" w:end="86"/>
        <w:rPr>
          <w:b/>
        </w:rPr>
      </w:pPr>
      <w:r>
        <w:rPr>
          <w:b/>
        </w:rPr>
      </w:r>
    </w:p>
    <w:p>
      <w:pPr>
        <w:pStyle w:val="Normal"/>
        <w:numPr>
          <w:ilvl w:val="0"/>
          <w:numId w:val="3"/>
        </w:numPr>
        <w:tabs>
          <w:tab w:val="clear" w:pos="720"/>
        </w:tabs>
        <w:ind w:hanging="360" w:start="1080" w:end="86"/>
        <w:rPr/>
      </w:pPr>
      <w:r>
        <w:rPr>
          <w:b/>
        </w:rPr>
        <w:t>Term</w:t>
      </w:r>
      <w:r>
        <w:rPr/>
        <w:t xml:space="preserve"> - Notice provisions solely available to the City to increase or decrease the amount of purchases are also preferred.</w:t>
      </w:r>
    </w:p>
    <w:p>
      <w:pPr>
        <w:pStyle w:val="Normal"/>
        <w:tabs>
          <w:tab w:val="clear" w:pos="720"/>
          <w:tab w:val="left" w:pos="1080" w:leader="none"/>
        </w:tabs>
        <w:ind w:start="1080" w:end="86"/>
        <w:rPr>
          <w:b/>
        </w:rPr>
      </w:pPr>
      <w:r>
        <w:rPr>
          <w:b/>
        </w:rPr>
      </w:r>
    </w:p>
    <w:p>
      <w:pPr>
        <w:pStyle w:val="Normal"/>
        <w:numPr>
          <w:ilvl w:val="0"/>
          <w:numId w:val="1"/>
        </w:numPr>
        <w:tabs>
          <w:tab w:val="clear" w:pos="720"/>
        </w:tabs>
        <w:ind w:hanging="360" w:start="1080" w:end="86"/>
        <w:rPr>
          <w:b/>
        </w:rPr>
      </w:pPr>
      <w:r>
        <w:rPr>
          <w:b/>
        </w:rPr>
        <w:t xml:space="preserve">Experience - </w:t>
      </w:r>
      <w:r>
        <w:rPr/>
        <w:t>The City prefers Bidders with experience providing services similar to that requested by the City.</w:t>
      </w:r>
    </w:p>
    <w:p>
      <w:pPr>
        <w:pStyle w:val="Normal"/>
        <w:tabs>
          <w:tab w:val="clear" w:pos="720"/>
          <w:tab w:val="left" w:pos="1080" w:leader="none"/>
        </w:tabs>
        <w:ind w:start="1080" w:end="86"/>
        <w:rPr>
          <w:b/>
        </w:rPr>
      </w:pPr>
      <w:r>
        <w:rPr>
          <w:b/>
        </w:rPr>
      </w:r>
    </w:p>
    <w:p>
      <w:pPr>
        <w:pStyle w:val="Normal"/>
        <w:numPr>
          <w:ilvl w:val="0"/>
          <w:numId w:val="1"/>
        </w:numPr>
        <w:tabs>
          <w:tab w:val="clear" w:pos="720"/>
        </w:tabs>
        <w:ind w:hanging="360" w:start="1080" w:end="86"/>
        <w:rPr>
          <w:b/>
        </w:rPr>
      </w:pPr>
      <w:r>
        <w:rPr>
          <w:b/>
        </w:rPr>
        <w:t>Firm Supply</w:t>
      </w:r>
      <w:r>
        <w:rPr/>
        <w:t xml:space="preserve"> - Proposals will be evaluated on the availability of generating resources, arrangements for firming capacity, and penalties for nonperformance.</w:t>
      </w:r>
    </w:p>
    <w:p>
      <w:pPr>
        <w:pStyle w:val="Normal"/>
        <w:tabs>
          <w:tab w:val="clear" w:pos="720"/>
          <w:tab w:val="left" w:pos="1080" w:leader="none"/>
        </w:tabs>
        <w:ind w:start="1080" w:end="86"/>
        <w:rPr>
          <w:b/>
        </w:rPr>
      </w:pPr>
      <w:r>
        <w:rPr>
          <w:b/>
        </w:rPr>
      </w:r>
    </w:p>
    <w:p>
      <w:pPr>
        <w:pStyle w:val="Normal"/>
        <w:numPr>
          <w:ilvl w:val="0"/>
          <w:numId w:val="1"/>
        </w:numPr>
        <w:tabs>
          <w:tab w:val="clear" w:pos="720"/>
        </w:tabs>
        <w:ind w:hanging="360" w:start="1080" w:end="86"/>
        <w:rPr/>
      </w:pPr>
      <w:r>
        <w:rPr>
          <w:b/>
        </w:rPr>
        <w:t>Transmission -</w:t>
      </w:r>
      <w:r>
        <w:rPr/>
        <w:t xml:space="preserve"> Proposals that minimize the number of intermediate third party transmission systems are preferred.</w:t>
      </w:r>
    </w:p>
    <w:p>
      <w:pPr>
        <w:pStyle w:val="Normal"/>
        <w:tabs>
          <w:tab w:val="left" w:pos="720" w:leader="none"/>
          <w:tab w:val="left" w:pos="1080" w:leader="none"/>
        </w:tabs>
        <w:ind w:start="1080" w:end="0"/>
        <w:rPr>
          <w:b/>
        </w:rPr>
      </w:pPr>
      <w:r>
        <w:rPr>
          <w:b/>
        </w:rPr>
      </w:r>
    </w:p>
    <w:p>
      <w:pPr>
        <w:pStyle w:val="Normal"/>
        <w:numPr>
          <w:ilvl w:val="0"/>
          <w:numId w:val="1"/>
        </w:numPr>
        <w:tabs>
          <w:tab w:val="clear" w:pos="720"/>
        </w:tabs>
        <w:ind w:hanging="360" w:start="1080" w:end="0"/>
        <w:rPr/>
      </w:pPr>
      <w:r>
        <w:rPr>
          <w:b/>
        </w:rPr>
        <w:t>Fuel Type</w:t>
      </w:r>
      <w:r>
        <w:rPr/>
        <w:t xml:space="preserve"> – With regard to Proposals that are based on a “pass through” of fuel costs, the City prefers Proposals that offer electric power from a fuel diverse generation portfolio that incorporates risk mitigation relative to fuel price fluctuation.</w:t>
      </w:r>
    </w:p>
    <w:p>
      <w:pPr>
        <w:pStyle w:val="Normal"/>
        <w:tabs>
          <w:tab w:val="clear" w:pos="720"/>
          <w:tab w:val="left" w:pos="1080" w:leader="none"/>
        </w:tabs>
        <w:ind w:start="1080" w:end="0"/>
        <w:jc w:val="both"/>
        <w:rPr>
          <w:b/>
        </w:rPr>
      </w:pPr>
      <w:r>
        <w:rPr>
          <w:b/>
        </w:rPr>
      </w:r>
    </w:p>
    <w:p>
      <w:pPr>
        <w:pStyle w:val="Normal"/>
        <w:numPr>
          <w:ilvl w:val="0"/>
          <w:numId w:val="1"/>
        </w:numPr>
        <w:tabs>
          <w:tab w:val="clear" w:pos="720"/>
        </w:tabs>
        <w:ind w:hanging="360" w:start="1080" w:end="0"/>
        <w:jc w:val="both"/>
        <w:rPr/>
      </w:pPr>
      <w:r>
        <w:rPr>
          <w:b/>
        </w:rPr>
        <w:t>Technology</w:t>
      </w:r>
      <w:r>
        <w:rPr/>
        <w:t xml:space="preserve"> – Proposals utilizing commercially proven technologies are preferable.</w:t>
      </w:r>
    </w:p>
    <w:p>
      <w:pPr>
        <w:pStyle w:val="Normal"/>
        <w:rPr/>
      </w:pPr>
      <w:r>
        <w:rPr/>
      </w:r>
    </w:p>
    <w:p>
      <w:pPr>
        <w:pStyle w:val="Normal"/>
        <w:rPr/>
      </w:pPr>
      <w:r>
        <w:rPr/>
        <w:t>The following table describes how your proposal ranked in non-price factors as compared to the other proposals evaluated.</w:t>
      </w:r>
    </w:p>
    <w:p>
      <w:pPr>
        <w:pStyle w:val="Normal"/>
        <w:rPr/>
      </w:pPr>
      <w:r>
        <w:rPr/>
      </w:r>
    </w:p>
    <w:tbl>
      <w:tblPr>
        <w:tblW w:w="8568" w:type="dxa"/>
        <w:jc w:val="start"/>
        <w:tblInd w:w="288" w:type="dxa"/>
        <w:tblLayout w:type="fixed"/>
        <w:tblCellMar>
          <w:top w:w="0" w:type="dxa"/>
          <w:start w:w="108" w:type="dxa"/>
          <w:bottom w:w="0" w:type="dxa"/>
          <w:end w:w="108" w:type="dxa"/>
        </w:tblCellMar>
      </w:tblPr>
      <w:tblGrid>
        <w:gridCol w:w="1743"/>
        <w:gridCol w:w="2216"/>
        <w:gridCol w:w="2253"/>
        <w:gridCol w:w="2356"/>
      </w:tblGrid>
      <w:tr>
        <w:trPr/>
        <w:tc>
          <w:tcPr>
            <w:tcW w:w="174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bCs/>
              </w:rPr>
            </w:pPr>
            <w:r>
              <w:rPr>
                <w:b/>
                <w:bCs/>
              </w:rPr>
            </w:r>
          </w:p>
        </w:tc>
        <w:tc>
          <w:tcPr>
            <w:tcW w:w="221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North Little Rock</w:t>
            </w:r>
          </w:p>
        </w:tc>
        <w:tc>
          <w:tcPr>
            <w:tcW w:w="2253"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Benton</w:t>
            </w:r>
          </w:p>
        </w:tc>
        <w:tc>
          <w:tcPr>
            <w:tcW w:w="2356"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Combined</w:t>
            </w:r>
          </w:p>
        </w:tc>
      </w:tr>
      <w:tr>
        <w:trPr/>
        <w:tc>
          <w:tcPr>
            <w:tcW w:w="1743" w:type="dxa"/>
            <w:tcBorders>
              <w:top w:val="single" w:sz="4" w:space="0" w:color="000000"/>
              <w:start w:val="single" w:sz="4" w:space="0" w:color="000000"/>
              <w:bottom w:val="single" w:sz="4" w:space="0" w:color="000000"/>
              <w:end w:val="single" w:sz="4" w:space="0" w:color="000000"/>
            </w:tcBorders>
          </w:tcPr>
          <w:p>
            <w:pPr>
              <w:pStyle w:val="Normal"/>
              <w:rPr/>
            </w:pPr>
            <w:r>
              <w:rPr/>
              <w:t>Proposal</w:t>
            </w:r>
          </w:p>
        </w:tc>
        <w:tc>
          <w:tcPr>
            <w:tcW w:w="2216" w:type="dxa"/>
            <w:tcBorders>
              <w:top w:val="single" w:sz="4" w:space="0" w:color="000000"/>
              <w:start w:val="single" w:sz="4" w:space="0" w:color="000000"/>
              <w:bottom w:val="single" w:sz="4" w:space="0" w:color="000000"/>
              <w:end w:val="single" w:sz="4" w:space="0" w:color="000000"/>
            </w:tcBorders>
          </w:tcPr>
          <w:p>
            <w:pPr>
              <w:pStyle w:val="Normal"/>
              <w:jc w:val="center"/>
              <w:rPr/>
            </w:pPr>
            <w:r>
              <w:rPr/>
              <w:t>4/9</w:t>
            </w:r>
          </w:p>
        </w:tc>
        <w:tc>
          <w:tcPr>
            <w:tcW w:w="2253" w:type="dxa"/>
            <w:tcBorders>
              <w:top w:val="single" w:sz="4" w:space="0" w:color="000000"/>
              <w:start w:val="single" w:sz="4" w:space="0" w:color="000000"/>
              <w:bottom w:val="single" w:sz="4" w:space="0" w:color="000000"/>
              <w:end w:val="single" w:sz="4" w:space="0" w:color="000000"/>
            </w:tcBorders>
          </w:tcPr>
          <w:p>
            <w:pPr>
              <w:pStyle w:val="Normal"/>
              <w:jc w:val="center"/>
              <w:rPr/>
            </w:pPr>
            <w:r>
              <w:rPr/>
              <w:t>4/9</w:t>
            </w:r>
          </w:p>
        </w:tc>
        <w:tc>
          <w:tcPr>
            <w:tcW w:w="2356" w:type="dxa"/>
            <w:tcBorders>
              <w:top w:val="single" w:sz="4" w:space="0" w:color="000000"/>
              <w:start w:val="single" w:sz="4" w:space="0" w:color="000000"/>
              <w:bottom w:val="single" w:sz="4" w:space="0" w:color="000000"/>
              <w:end w:val="single" w:sz="4" w:space="0" w:color="000000"/>
            </w:tcBorders>
          </w:tcPr>
          <w:p>
            <w:pPr>
              <w:pStyle w:val="Normal"/>
              <w:jc w:val="center"/>
              <w:rPr/>
            </w:pPr>
            <w:r>
              <w:rPr/>
              <w:t>4/9</w:t>
            </w:r>
          </w:p>
        </w:tc>
      </w:tr>
    </w:tbl>
    <w:p>
      <w:pPr>
        <w:pStyle w:val="Normal"/>
        <w:rPr/>
      </w:pPr>
      <w:r>
        <w:rPr/>
      </w:r>
    </w:p>
    <w:p>
      <w:pPr>
        <w:pStyle w:val="Normal"/>
        <w:rPr/>
      </w:pPr>
      <w:r>
        <w:rPr/>
        <w:t>The Cities' Negotiating Committees have identified the following areas where your proposal may be improved.</w:t>
      </w:r>
    </w:p>
    <w:p>
      <w:pPr>
        <w:pStyle w:val="Normal"/>
        <w:rPr/>
      </w:pPr>
      <w:r>
        <w:rPr/>
      </w:r>
    </w:p>
    <w:p>
      <w:pPr>
        <w:pStyle w:val="Normal"/>
        <w:ind w:start="720" w:end="0"/>
        <w:rPr/>
      </w:pPr>
      <w:r>
        <w:rPr/>
        <w:t>1. Your price is greater than 15% from the best price offer.  A substantial improvement in price would be necessary to receive further consideration.</w:t>
      </w:r>
    </w:p>
    <w:p>
      <w:pPr>
        <w:pStyle w:val="Normal"/>
        <w:ind w:start="720" w:end="0"/>
        <w:rPr/>
      </w:pPr>
      <w:r>
        <w:rPr/>
      </w:r>
    </w:p>
    <w:p>
      <w:pPr>
        <w:pStyle w:val="Normal"/>
        <w:ind w:start="720" w:end="0"/>
        <w:rPr/>
      </w:pPr>
      <w:r>
        <w:rPr/>
        <w:t>2. You have identified no resources inside of Entergy's control area.  If you can point to resources inside of Entergy's control area you may improve your position</w:t>
      </w:r>
    </w:p>
    <w:p>
      <w:pPr>
        <w:pStyle w:val="Normal"/>
        <w:ind w:start="720" w:end="0"/>
        <w:rPr/>
      </w:pPr>
      <w:r>
        <w:rPr/>
      </w:r>
    </w:p>
    <w:p>
      <w:pPr>
        <w:pStyle w:val="Normal"/>
        <w:ind w:start="720" w:end="0"/>
        <w:rPr/>
      </w:pPr>
      <w:r>
        <w:rPr/>
        <w:t>3. You did not utilize dynamic scheduling for the scheduling of generation to match load.  You may improve your position by offering dynamic scheduling.</w:t>
      </w:r>
    </w:p>
    <w:p>
      <w:pPr>
        <w:pStyle w:val="Normal"/>
        <w:ind w:start="720" w:end="0"/>
        <w:rPr/>
      </w:pPr>
      <w:r>
        <w:rPr/>
      </w:r>
    </w:p>
    <w:p>
      <w:pPr>
        <w:pStyle w:val="Normal"/>
        <w:ind w:start="720" w:end="0"/>
        <w:rPr/>
      </w:pPr>
      <w:r>
        <w:rPr/>
        <w:t>4.  The Cities desire a fixed cost over the term of the contract.  You may improve your position by including any increases in the Cities' cost for Network Transmission Service over the term of the contract in your costs.</w:t>
      </w:r>
    </w:p>
    <w:p>
      <w:pPr>
        <w:pStyle w:val="Normal"/>
        <w:ind w:start="720" w:end="0"/>
        <w:rPr/>
      </w:pPr>
      <w:r>
        <w:rPr/>
      </w:r>
    </w:p>
    <w:p>
      <w:pPr>
        <w:pStyle w:val="Normal"/>
        <w:ind w:start="720" w:end="0"/>
        <w:rPr/>
      </w:pPr>
      <w:r>
        <w:rPr/>
        <w:t xml:space="preserve">5.  The Negotiation Committees are alarmed by the recent developments concerning Enron's losses and the downgrading of Enron's securities.  Significant financial assurance would be required before the Negotiating Committee's would further consider Enron. </w:t>
      </w:r>
    </w:p>
    <w:p>
      <w:pPr>
        <w:pStyle w:val="Normal"/>
        <w:ind w:start="720" w:end="0"/>
        <w:rPr/>
      </w:pPr>
      <w:r>
        <w:rPr/>
      </w:r>
    </w:p>
    <w:p>
      <w:pPr>
        <w:pStyle w:val="Normal"/>
        <w:rPr/>
      </w:pPr>
      <w:r>
        <w:rPr/>
        <w:t>The Negotiating Committees are currently scheduling meetings to discuss the above concerns and allow Bidders to correct or improve their proposals.  Should you desire to participate further in the RFP process you should contact Joe Gertsch (501-975-8762) as soon as possible to schedule a meeting.  Thank you for your continued participation in the North Little Rock and Benton Purchase Power RFP.</w:t>
      </w:r>
    </w:p>
    <w:p>
      <w:pPr>
        <w:pStyle w:val="Normal"/>
        <w:rPr/>
      </w:pPr>
      <w:r>
        <w:rPr/>
      </w:r>
    </w:p>
    <w:p>
      <w:pPr>
        <w:pStyle w:val="Normal"/>
        <w:rPr/>
      </w:pPr>
      <w:r>
        <w:rPr/>
      </w:r>
    </w:p>
    <w:p>
      <w:pPr>
        <w:pStyle w:val="Normal"/>
        <w:rPr/>
      </w:pPr>
      <w:r>
        <w:rPr/>
        <w:t>Respectfully,</w:t>
      </w:r>
    </w:p>
    <w:p>
      <w:pPr>
        <w:pStyle w:val="Normal"/>
        <w:rPr/>
      </w:pPr>
      <w:r>
        <w:rPr/>
      </w:r>
    </w:p>
    <w:p>
      <w:pPr>
        <w:pStyle w:val="Normal"/>
        <w:rPr/>
      </w:pPr>
      <w:r>
        <w:rPr/>
      </w:r>
    </w:p>
    <w:p>
      <w:pPr>
        <w:pStyle w:val="Normal"/>
        <w:rPr/>
      </w:pPr>
      <w:r>
        <w:rPr/>
        <w:t>NLR/Benton Negotiating Committee</w:t>
      </w:r>
    </w:p>
    <w:p>
      <w:pPr>
        <w:pStyle w:val="Normal"/>
        <w:rPr/>
      </w:pPr>
      <w:r>
        <w:rPr/>
        <w:t>Connie Woodard</w:t>
      </w:r>
    </w:p>
    <w:p>
      <w:pPr>
        <w:pStyle w:val="Normal"/>
        <w:rPr/>
      </w:pPr>
      <w:r>
        <w:rPr/>
        <w:t>Joe Smith</w:t>
      </w:r>
    </w:p>
    <w:p>
      <w:pPr>
        <w:pStyle w:val="Normal"/>
        <w:rPr/>
      </w:pPr>
      <w:r>
        <w:rPr/>
        <w:t>David Wilson</w:t>
      </w:r>
    </w:p>
    <w:p>
      <w:pPr>
        <w:pStyle w:val="Normal"/>
        <w:rPr/>
      </w:pPr>
      <w:r>
        <w:rPr/>
        <w:t>R.W. Beck</w:t>
      </w:r>
    </w:p>
    <w:p>
      <w:pPr>
        <w:pStyle w:val="Normal"/>
        <w:rPr/>
      </w:pPr>
      <w:r>
        <w:rPr/>
        <w:t>John Walden</w:t>
      </w:r>
    </w:p>
    <w:p>
      <w:pPr>
        <w:pStyle w:val="Normal"/>
        <w:rPr/>
      </w:pPr>
      <w:r>
        <w:rPr/>
        <w:t>Will LaSage</w:t>
      </w:r>
    </w:p>
    <w:p>
      <w:pPr>
        <w:pStyle w:val="Normal"/>
        <w:rPr/>
      </w:pPr>
      <w:r>
        <w:rPr/>
        <w:t>Claudine Ramsey</w:t>
      </w:r>
    </w:p>
    <w:p>
      <w:pPr>
        <w:pStyle w:val="Normal"/>
        <w:rPr/>
      </w:pPr>
      <w:r>
        <w:rPr/>
      </w:r>
    </w:p>
    <w:p>
      <w:pPr>
        <w:pStyle w:val="Normal"/>
        <w:rPr/>
      </w:pPr>
      <w:r>
        <w:rPr/>
      </w:r>
    </w:p>
    <w:p>
      <w:pPr>
        <w:pStyle w:val="Normal"/>
        <w:rPr/>
      </w:pPr>
      <w:r>
        <w:rPr/>
        <w:t>CC:</w:t>
        <w:tab/>
        <w:tab/>
        <w:t>Mayor Lynn Moore</w:t>
      </w:r>
    </w:p>
    <w:p>
      <w:pPr>
        <w:pStyle w:val="Normal"/>
        <w:rPr/>
      </w:pPr>
      <w:r>
        <w:rPr/>
        <w:tab/>
        <w:tab/>
        <w:t>Mayor Patrick Hays</w:t>
      </w:r>
    </w:p>
    <w:p>
      <w:pPr>
        <w:pStyle w:val="Normal"/>
        <w:rPr/>
      </w:pPr>
      <w:r>
        <w:rPr/>
        <w:tab/>
        <w:tab/>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ZapfCalligraphic Roman">
    <w:altName w:val="ZapfCalligr BT"/>
    <w:charset w:val="00" w:characterSet="windows-1252"/>
    <w:family w:val="roman"/>
    <w:pitch w:val="default"/>
  </w:font>
  <w:font w:name="ZapfCalligr BT">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4"/>
      <w:lang w:val="en-US" w:bidi="ar-SA" w:eastAsia="zh-C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dLine">
    <w:name w:val="Hd Line"/>
    <w:qFormat/>
    <w:pPr>
      <w:widowControl/>
      <w:tabs>
        <w:tab w:val="clear" w:pos="720"/>
        <w:tab w:val="left" w:pos="-720" w:leader="none"/>
      </w:tabs>
      <w:suppressAutoHyphens w:val="true"/>
      <w:bidi w:val="0"/>
      <w:spacing w:lineRule="exact" w:line="240"/>
      <w:jc w:val="both"/>
    </w:pPr>
    <w:rPr>
      <w:rFonts w:ascii="ZapfCalligraphic Roman;ZapfCalligr BT" w:hAnsi="ZapfCalligraphic Roman;ZapfCalligr BT" w:eastAsia="Times New Roman" w:cs="ZapfCalligraphic Roman;ZapfCalligr BT"/>
      <w:color w:val="auto"/>
      <w:spacing w:val="-2"/>
      <w:sz w:val="22"/>
      <w:szCs w:val="20"/>
      <w:lang w:val="en-US" w:bidi="ar-SA" w:eastAsia="zh-CN"/>
    </w:rPr>
  </w:style>
  <w:style w:type="paragraph" w:styleId="BlockText">
    <w:name w:val="Block Text"/>
    <w:basedOn w:val="Normal"/>
    <w:qFormat/>
    <w:pPr>
      <w:spacing w:lineRule="auto" w:line="360" w:before="120" w:after="0"/>
      <w:ind w:hanging="0" w:start="360" w:end="90"/>
      <w:jc w:val="both"/>
    </w:pPr>
    <w:rPr>
      <w:rFonts w:ascii="ZapfCalligr BT" w:hAnsi="ZapfCalligr BT" w:cs="ZapfCalligr BT"/>
      <w:kern w:val="2"/>
      <w:sz w:val="24"/>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2001-11-12T14:19:00Z</dcterms:created>
  <dc:creator>J_Gertsch</dc:creator>
  <dc:description/>
  <dc:language>en-CA</dc:language>
  <cp:lastModifiedBy>J_Gertsch</cp:lastModifiedBy>
  <cp:lastPrinted>2001-11-12T13:09:00Z</cp:lastPrinted>
  <dcterms:modified xsi:type="dcterms:W3CDTF">2001-11-12T20:32:00Z</dcterms:modified>
  <cp:revision>7</cp:revision>
  <dc:subject/>
  <dc:title>November 12, 2001</dc:title>
</cp:coreProperties>
</file>