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jc w:val="center"/>
        <w:rPr/>
      </w:pPr>
      <w:r>
        <w:rPr/>
        <w:t>GAS CONTRACT TRANSITIONAL AGREEMENT</w:t>
      </w:r>
    </w:p>
    <w:p>
      <w:pPr>
        <w:pStyle w:val="VEBodyText"/>
        <w:rPr/>
      </w:pPr>
      <w:r>
        <w:rPr/>
        <w:tab/>
        <w:tab/>
        <w:t>Gas Contract Transitional Agreement (“GP Transitional Agreement”) by and between Enron North America Corp. (“ENA”) and AEP Energy Services Gas Holding Company (“AEP”) dated as of May 31, 2001 (the “Effective Date”).</w:t>
      </w:r>
    </w:p>
    <w:p>
      <w:pPr>
        <w:pStyle w:val="VEBodyText"/>
        <w:jc w:val="center"/>
        <w:rPr/>
      </w:pPr>
      <w:r>
        <w:rPr/>
        <w:t>RECITALS</w:t>
      </w:r>
    </w:p>
    <w:p>
      <w:pPr>
        <w:pStyle w:val="VEBodyText"/>
        <w:rPr/>
      </w:pPr>
      <w:r>
        <w:rPr/>
        <w:tab/>
        <w:tab/>
        <w:t>WHEREAS, ENA’s Parent, Enron Corp. (“Enron”) and AEP entered into a Purchase and Sale Agreement dated as of December 27, 2000 (the “PSA”);</w:t>
      </w:r>
    </w:p>
    <w:p>
      <w:pPr>
        <w:pStyle w:val="VEBodyText"/>
        <w:rPr/>
      </w:pPr>
      <w:r>
        <w:rPr/>
        <w:tab/>
        <w:tab/>
        <w:t>WHEREAS, Schedule 4.13(a)(v) includes the Gas Contract for Short-Term Sale and Purchase of Natural Gas dated as of June 11, 1999, and all provisions and special provisions thereto between ENA, as successor in interest to Columbia Energy Services Corporation (“CES”) and Guadalupe Power Partners, LP (“GPP”) (the “GPP Contract”);</w:t>
      </w:r>
    </w:p>
    <w:p>
      <w:pPr>
        <w:pStyle w:val="VEBodyText"/>
        <w:rPr/>
      </w:pPr>
      <w:r>
        <w:rPr/>
        <w:tab/>
        <w:tab/>
        <w:t>WHEREAS, Schedule 4.13(b)(2) sets forth certain matters relating to obtaining the consent to assign the GPP Contract from GPP and its lenders (“GPP Consent”), the transitional use of a “back-to-back” contract between ENA and HPL (“GPP Transitional Contract”) the terms of which shall be mutually agreed to by AEP and ENA as provided in a letter of even date to Dwayne Hart of AEP from Brian Redmond of ENA, a copy of which letter is attached hereto;</w:t>
      </w:r>
    </w:p>
    <w:p>
      <w:pPr>
        <w:pStyle w:val="VEBodyText"/>
        <w:rPr/>
      </w:pPr>
      <w:r>
        <w:rPr/>
        <w:tab/>
        <w:tab/>
        <w:t>WHEREAS, ENA and AEP desire to set forth their additional agreements relating to the GPP Contract, the GPP Transitional Contract and the existing Enron guaranty of the GPP Contract (“Enron Guaranty”) and the replacement of the Enron Guaranty to be issued to AEP (“AEP Guaranty”) all as more specifically provided herein;</w:t>
      </w:r>
    </w:p>
    <w:p>
      <w:pPr>
        <w:pStyle w:val="VEBodyText"/>
        <w:rPr/>
      </w:pPr>
      <w:r>
        <w:rPr/>
        <w:tab/>
        <w:tab/>
        <w:t>NOW, THEREFORE, ENA and AEP in consideration of the mutual agreements contained herein agree as follows:</w:t>
      </w:r>
    </w:p>
    <w:p>
      <w:pPr>
        <w:pStyle w:val="VEBodyText"/>
        <w:rPr/>
      </w:pPr>
      <w:r>
        <w:rPr/>
        <w:tab/>
        <w:t>1.</w:t>
        <w:tab/>
        <w:t>ENA and HPL will enter into the GPP Transition Contract contemporaneously with the execution of this Agreement.</w:t>
      </w:r>
    </w:p>
    <w:p>
      <w:pPr>
        <w:pStyle w:val="VEBodyText"/>
        <w:rPr/>
      </w:pPr>
      <w:r>
        <w:rPr/>
        <w:tab/>
        <w:t>2.</w:t>
        <w:tab/>
        <w:t>On July 1, 2001, ENA shall pay to HPL the sum of $500,000 via wire transfer based on wire transfer instructions to be provided by HPL or AEP to Enron’s treasury department with a copy to Brian Redmond, which instructions will be delivered at least ten (10) days prior to July 1, 2001.</w:t>
      </w:r>
    </w:p>
    <w:p>
      <w:pPr>
        <w:pStyle w:val="VEBodyText"/>
        <w:rPr/>
      </w:pPr>
      <w:r>
        <w:rPr/>
        <w:tab/>
        <w:t>3.</w:t>
        <w:tab/>
        <w:t>ENA and AEP shall cooperate in good faith to take commercially reasonable efforts to effectuate the receipt of the GPP Consent prior to July 1, 2002.  Under no circumstances shall AEP or ENA be required to deliver any consideration to GPP or any other entity for such GPP Consent other than delivery by [</w:t>
      </w:r>
      <w:r>
        <w:rPr>
          <w:b/>
          <w:bCs/>
        </w:rPr>
        <w:t>insert substitute AEP Guarantor’s name here</w:t>
      </w:r>
      <w:r>
        <w:rPr/>
        <w:t>] of  a substitute guaranty for the Enron Guaranty, in substantially the identical form of the Enron Guaranty (“AEP Guaranty”).  Such AEP entity shall be obligated to deliver the AEP Guaranty in connection with obtaining the GPP Consent.  AEP and Enron shall also cooperate in good faith using commercially reasonable efforts to obtain a simultaneous release of the Enron Guaranty (“Enron Release”).  Furthermore, prior to obtaining the GPP Consent, AEP shall cause HPL to maintain a good working relationship with GPP.</w:t>
      </w:r>
    </w:p>
    <w:p>
      <w:pPr>
        <w:pStyle w:val="VEBodyText"/>
        <w:ind w:firstLine="720" w:end="0"/>
        <w:rPr/>
      </w:pPr>
      <w:r>
        <w:rPr/>
        <w:t>4.</w:t>
        <w:tab/>
        <w:t>If ENA and AEP fail to obtain the GPP Consent and/or Enron Release prior to July 1, 2002, AEP and ENA shall nevertheless continue as provided in paragraph 3 above to effectuate the receipt of the GPP Consent and Enron Release.</w:t>
      </w:r>
    </w:p>
    <w:p>
      <w:pPr>
        <w:pStyle w:val="VEBodyText"/>
        <w:ind w:firstLine="720" w:end="0"/>
        <w:rPr/>
      </w:pPr>
      <w:r>
        <w:rPr/>
        <w:t>5.</w:t>
        <w:tab/>
        <w:t>AEP and ENA (and HPL, as ENA’s representatives under the Transitional Contract), as appropriate under the circumstances, shall nevertheless take such actions as are set forth in the GPP Contract to timely cause the notice of intent not to allow the GPP Contract to automatically extend past December of 2002, the 2nd anniversary of the commercial operations of the GPP facility in accordance with the terms of the GPP Contract.  AEP agrees to cause HPL to take any such action if required by HPL under the Transitional Agreement.</w:t>
      </w:r>
    </w:p>
    <w:p>
      <w:pPr>
        <w:pStyle w:val="VEBodyText"/>
        <w:rPr/>
      </w:pPr>
      <w:r>
        <w:rPr/>
        <w:tab/>
        <w:t>6.</w:t>
        <w:tab/>
        <w:t>If ENA and AEP, after compliance with, and as provided in, paragraphs 3 and 4 above fail to obtain the GPP Consent prior to July 1, 2002, ENA shall pay HPL an additional sum of $500,000 via wire transfer based on wire transfer instructions provided by AEP or HPL as specified in paragraph 2 above with the date of delivery of such instructions being ten (10) days prior to July 1, 2002.</w:t>
      </w:r>
    </w:p>
    <w:p>
      <w:pPr>
        <w:pStyle w:val="VEBodyText"/>
        <w:rPr/>
      </w:pPr>
      <w:r>
        <w:rPr/>
        <w:tab/>
        <w:tab/>
        <w:t>Each of ENA and AEP sign below for the purpose of evidencing their respective agreement to the foregoing.</w:t>
      </w:r>
    </w:p>
    <w:p>
      <w:pPr>
        <w:pStyle w:val="Normal"/>
        <w:ind w:firstLine="720" w:start="3600" w:end="0"/>
        <w:jc w:val="both"/>
        <w:rPr/>
      </w:pPr>
      <w:r>
        <w:rPr/>
        <w:t>Enron North America Corp.</w:t>
      </w:r>
    </w:p>
    <w:p>
      <w:pPr>
        <w:pStyle w:val="Normal"/>
        <w:jc w:val="both"/>
        <w:rPr/>
      </w:pPr>
      <w:r>
        <w:rPr/>
      </w:r>
    </w:p>
    <w:p>
      <w:pPr>
        <w:pStyle w:val="Normal"/>
        <w:ind w:firstLine="720" w:start="3600" w:end="0"/>
        <w:jc w:val="both"/>
        <w:rPr/>
      </w:pPr>
      <w:r>
        <w:rPr/>
        <w:t>By:___________________________</w:t>
      </w:r>
    </w:p>
    <w:p>
      <w:pPr>
        <w:pStyle w:val="Normal"/>
        <w:jc w:val="both"/>
        <w:rPr/>
      </w:pPr>
      <w:r>
        <w:rPr/>
      </w:r>
    </w:p>
    <w:p>
      <w:pPr>
        <w:pStyle w:val="Normal"/>
        <w:ind w:firstLine="720" w:start="3600" w:end="0"/>
        <w:jc w:val="both"/>
        <w:rPr/>
      </w:pPr>
      <w:r>
        <w:rPr/>
        <w:t>Name:________________________</w:t>
      </w:r>
    </w:p>
    <w:p>
      <w:pPr>
        <w:pStyle w:val="Normal"/>
        <w:jc w:val="both"/>
        <w:rPr/>
      </w:pPr>
      <w:r>
        <w:rPr/>
      </w:r>
    </w:p>
    <w:p>
      <w:pPr>
        <w:pStyle w:val="Normal"/>
        <w:ind w:firstLine="720" w:start="3600" w:end="0"/>
        <w:jc w:val="both"/>
        <w:rPr/>
      </w:pPr>
      <w:r>
        <w:rPr/>
        <w:t>Title:_________________________</w:t>
      </w:r>
    </w:p>
    <w:p>
      <w:pPr>
        <w:pStyle w:val="VEBodyText"/>
        <w:rPr/>
      </w:pPr>
      <w:r>
        <w:rPr/>
      </w:r>
    </w:p>
    <w:p>
      <w:pPr>
        <w:pStyle w:val="Normal"/>
        <w:ind w:firstLine="720" w:start="3600" w:end="0"/>
        <w:jc w:val="both"/>
        <w:rPr/>
      </w:pPr>
      <w:r>
        <w:rPr/>
        <w:t>AEP Energy Service Gas Holding Company</w:t>
      </w:r>
    </w:p>
    <w:p>
      <w:pPr>
        <w:pStyle w:val="Normal"/>
        <w:jc w:val="both"/>
        <w:rPr/>
      </w:pPr>
      <w:r>
        <w:rPr/>
      </w:r>
    </w:p>
    <w:p>
      <w:pPr>
        <w:pStyle w:val="Normal"/>
        <w:ind w:firstLine="720" w:start="3600" w:end="0"/>
        <w:jc w:val="both"/>
        <w:rPr/>
      </w:pPr>
      <w:r>
        <w:rPr/>
        <w:t>By:___________________________</w:t>
      </w:r>
    </w:p>
    <w:p>
      <w:pPr>
        <w:pStyle w:val="Normal"/>
        <w:jc w:val="both"/>
        <w:rPr/>
      </w:pPr>
      <w:r>
        <w:rPr/>
      </w:r>
    </w:p>
    <w:p>
      <w:pPr>
        <w:pStyle w:val="Normal"/>
        <w:ind w:firstLine="720" w:start="3600" w:end="0"/>
        <w:jc w:val="both"/>
        <w:rPr/>
      </w:pPr>
      <w:r>
        <w:rPr/>
        <w:t>Name:________________________</w:t>
      </w:r>
    </w:p>
    <w:p>
      <w:pPr>
        <w:pStyle w:val="Normal"/>
        <w:jc w:val="both"/>
        <w:rPr/>
      </w:pPr>
      <w:r>
        <w:rPr/>
      </w:r>
    </w:p>
    <w:p>
      <w:pPr>
        <w:pStyle w:val="Normal"/>
        <w:ind w:firstLine="720" w:start="3600" w:end="0"/>
        <w:jc w:val="both"/>
        <w:rPr/>
      </w:pPr>
      <w:r>
        <w:rPr/>
        <w:t>Title:_________________________</w:t>
      </w:r>
    </w:p>
    <w:p>
      <w:pPr>
        <w:pStyle w:val="VEBodyText"/>
        <w:spacing w:before="0" w:after="24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Enron__Gas_Contract_Transitional_Agreement.DOC</w:t>
    </w:r>
    <w:r>
      <w:rPr>
        <w:rStyle w:val="VEDocumentInformation"/>
      </w:rPr>
      <w:fldChar w:fldCharType="end"/>
    </w:r>
    <w:r>
      <w:rPr>
        <w:rStyle w:val="VEDocumentInformation"/>
      </w:rPr>
      <w:tab/>
      <w:t xml:space="preserve">- </w:t>
    </w:r>
    <w:r>
      <w:rPr>
        <w:rStyle w:val="VEDocumentInformation"/>
      </w:rPr>
      <w:fldChar w:fldCharType="begin"/>
    </w:r>
    <w:r>
      <w:rPr>
        <w:rStyle w:val="VEDocumentInformation"/>
      </w:rPr>
      <w:instrText xml:space="preserve"> PAGE </w:instrText>
    </w:r>
    <w:r>
      <w:rPr>
        <w:rStyle w:val="VEDocumentInformation"/>
      </w:rPr>
      <w:fldChar w:fldCharType="separate"/>
    </w:r>
    <w:r>
      <w:rPr>
        <w:rStyle w:val="VEDocumentInformation"/>
      </w:rPr>
      <w:t>2</w:t>
    </w:r>
    <w:r>
      <w:rPr>
        <w:rStyle w:val="VEDocumentInformation"/>
      </w:rPr>
      <w:fldChar w:fldCharType="end"/>
    </w:r>
    <w:r>
      <w:rPr>
        <w:rStyle w:val="VEDocumentInformation"/>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spacing w:before="0" w:after="240"/>
      <w:outlineLvl w:val="0"/>
    </w:pPr>
    <w:rPr>
      <w:bCs/>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5"/>
      </w:numPr>
      <w:spacing w:before="0" w:after="240"/>
      <w:ind w:hanging="0" w:start="0" w:end="0"/>
      <w:jc w:val="start"/>
    </w:pPr>
    <w:rPr/>
  </w:style>
  <w:style w:type="paragraph" w:styleId="VESchedule2">
    <w:name w:val="VE Schedule 2"/>
    <w:basedOn w:val="VENormal"/>
    <w:next w:val="VEBodyTextFLI"/>
    <w:qFormat/>
    <w:pPr>
      <w:numPr>
        <w:ilvl w:val="0"/>
        <w:numId w:val="5"/>
      </w:numPr>
      <w:tabs>
        <w:tab w:val="clear" w:pos="720"/>
      </w:tabs>
      <w:spacing w:before="0" w:after="240"/>
      <w:ind w:hanging="0" w:start="0" w:end="0"/>
    </w:pPr>
    <w:rPr/>
  </w:style>
  <w:style w:type="paragraph" w:styleId="VESchedule3">
    <w:name w:val="VE Schedule 3"/>
    <w:basedOn w:val="VENormal"/>
    <w:next w:val="VEBodyTextFLI"/>
    <w:qFormat/>
    <w:pPr>
      <w:numPr>
        <w:ilvl w:val="0"/>
        <w:numId w:val="5"/>
      </w:numPr>
      <w:tabs>
        <w:tab w:val="clear" w:pos="720"/>
      </w:tabs>
      <w:spacing w:before="0" w:after="240"/>
      <w:ind w:hanging="0" w:start="0" w:end="0"/>
    </w:pPr>
    <w:rPr/>
  </w:style>
  <w:style w:type="paragraph" w:styleId="VESchedule4">
    <w:name w:val="VE Schedule 4"/>
    <w:basedOn w:val="VENormal"/>
    <w:next w:val="VEBodyTextFLI"/>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2001-06-01T18:00:00Z</dcterms:created>
  <dc:creator>Vinson &amp; Elkins</dc:creator>
  <dc:description/>
  <dc:language>en-CA</dc:language>
  <cp:lastModifiedBy>Vinson &amp; Elkins</cp:lastModifiedBy>
  <cp:lastPrinted>2001-06-01T15:00:00Z</cp:lastPrinted>
  <dcterms:modified xsi:type="dcterms:W3CDTF">2001-06-01T18:00:00Z</dcterms:modified>
  <cp:revision>2</cp:revision>
  <dc:subject/>
  <dc:title>GAS CONTRACT TRANSITIONAL AGREEMENT</dc:title>
</cp:coreProperties>
</file>