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71" w:type="dxa"/>
        <w:jc w:val="start"/>
        <w:tblInd w:w="-15" w:type="dxa"/>
        <w:tblLayout w:type="fixed"/>
        <w:tblCellMar>
          <w:top w:w="0" w:type="dxa"/>
          <w:start w:w="0" w:type="dxa"/>
          <w:bottom w:w="0" w:type="dxa"/>
          <w:end w:w="0" w:type="dxa"/>
        </w:tblCellMar>
      </w:tblPr>
      <w:tblGrid>
        <w:gridCol w:w="7471"/>
      </w:tblGrid>
      <w:tr>
        <w:trPr/>
        <w:tc>
          <w:tcPr>
            <w:tcW w:w="7471" w:type="dxa"/>
            <w:tcBorders/>
            <w:vAlign w:val="center"/>
          </w:tcPr>
          <w:tbl>
            <w:tblPr>
              <w:tblW w:w="7425" w:type="dxa"/>
              <w:jc w:val="start"/>
              <w:tblInd w:w="8" w:type="dxa"/>
              <w:tblLayout w:type="fixed"/>
              <w:tblCellMar>
                <w:top w:w="0" w:type="dxa"/>
                <w:start w:w="0" w:type="dxa"/>
                <w:bottom w:w="0" w:type="dxa"/>
                <w:end w:w="0" w:type="dxa"/>
              </w:tblCellMar>
            </w:tblPr>
            <w:tblGrid>
              <w:gridCol w:w="7425"/>
            </w:tblGrid>
            <w:tr>
              <w:trPr/>
              <w:tc>
                <w:tcPr>
                  <w:tcW w:w="7425" w:type="dxa"/>
                  <w:tcBorders/>
                  <w:vAlign w:val="center"/>
                </w:tcPr>
                <w:p>
                  <w:pPr>
                    <w:pStyle w:val="z-TopofForm"/>
                    <w:rPr/>
                  </w:pPr>
                  <w:r>
                    <w:rPr/>
                    <w:t>Top of Form</w:t>
                  </w:r>
                </w:p>
                <w:p>
                  <w:pPr>
                    <w:pStyle w:val="Normal"/>
                    <w:rPr>
                      <w:rFonts w:ascii="Arial" w:hAnsi="Arial" w:cs="Arial"/>
                      <w:sz w:val="18"/>
                      <w:szCs w:val="18"/>
                    </w:rPr>
                  </w:pPr>
                  <w:r>
                    <w:rPr>
                      <w:rFonts w:cs="Arial" w:ascii="Arial" w:hAnsi="Arial"/>
                      <w:vanish/>
                      <w:sz w:val="18"/>
                      <w:szCs w:val="18"/>
                    </w:rPr>
                  </w:r>
                  <w:r>
                    <w:rPr>
                      <w:rFonts w:cs="Arial" w:ascii="Arial" w:hAnsi="Arial"/>
                      <w:vanish/>
                      <w:sz w:val="18"/>
                      <w:szCs w:val="18"/>
                    </w:rPr>
                  </w:r>
                  <w:r>
                    <w:rPr>
                      <w:rFonts w:cs="Arial" w:ascii="Arial" w:hAnsi="Arial"/>
                      <w:color w:val="0000FF"/>
                      <w:sz w:val="18"/>
                      <w:szCs w:val="18"/>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p>
                <w:p>
                  <w:pPr>
                    <w:pStyle w:val="z-BottomofForm"/>
                    <w:rPr/>
                  </w:pPr>
                  <w:r>
                    <w:rPr/>
                    <w:t>Bottom of Form</w:t>
                  </w:r>
                </w:p>
              </w:tc>
            </w:tr>
          </w:tbl>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bl>
      <w:tblPr>
        <w:tblW w:w="140" w:type="dxa"/>
        <w:jc w:val="start"/>
        <w:tblInd w:w="-45" w:type="dxa"/>
        <w:tblLayout w:type="fixed"/>
        <w:tblCellMar>
          <w:top w:w="15" w:type="dxa"/>
          <w:start w:w="15" w:type="dxa"/>
          <w:bottom w:w="15" w:type="dxa"/>
          <w:end w:w="15" w:type="dxa"/>
        </w:tblCellMar>
      </w:tblPr>
      <w:tblGrid>
        <w:gridCol w:w="140"/>
      </w:tblGrid>
      <w:tr>
        <w:trPr/>
        <w:tc>
          <w:tcPr>
            <w:tcW w:w="140"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bl>
    <w:p>
      <w:pPr>
        <w:pStyle w:val="Normal"/>
        <w:rPr>
          <w:vanish/>
        </w:rPr>
      </w:pPr>
      <w:r>
        <w:rPr>
          <w:vanish/>
        </w:rPr>
      </w:r>
    </w:p>
    <w:tbl>
      <w:tblPr>
        <w:tblW w:w="7471" w:type="dxa"/>
        <w:jc w:val="start"/>
        <w:tblInd w:w="-15" w:type="dxa"/>
        <w:tblLayout w:type="fixed"/>
        <w:tblCellMar>
          <w:top w:w="0" w:type="dxa"/>
          <w:start w:w="0" w:type="dxa"/>
          <w:bottom w:w="0" w:type="dxa"/>
          <w:end w:w="0" w:type="dxa"/>
        </w:tblCellMar>
      </w:tblPr>
      <w:tblGrid>
        <w:gridCol w:w="7471"/>
      </w:tblGrid>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rPr>
                <w:rFonts w:ascii="Arial" w:hAnsi="Arial" w:eastAsia="Arial Unicode MS" w:cs="Arial"/>
                <w:sz w:val="18"/>
                <w:szCs w:val="18"/>
              </w:rPr>
            </w:pPr>
            <w:r>
              <w:rPr>
                <w:rStyle w:val="arialblackbold121"/>
              </w:rPr>
              <w:t>Enron Withdrawing 300 MW From ISO Program</w:t>
            </w:r>
            <w:r>
              <w:rPr>
                <w:rFonts w:cs="Arial" w:ascii="Arial" w:hAnsi="Arial"/>
                <w:sz w:val="18"/>
                <w:szCs w:val="18"/>
              </w:rPr>
              <w:t xml:space="preserve"> </w:t>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71" w:type="dxa"/>
            <w:tcBorders/>
            <w:vAlign w:val="center"/>
          </w:tcPr>
          <w:p>
            <w:pPr>
              <w:pStyle w:val="Normal"/>
              <w:rPr>
                <w:rFonts w:ascii="Arial" w:hAnsi="Arial" w:eastAsia="Arial Unicode MS" w:cs="Arial"/>
                <w:sz w:val="18"/>
                <w:szCs w:val="18"/>
              </w:rPr>
            </w:pPr>
            <w:r>
              <w:rPr>
                <w:rStyle w:val="arialblack121"/>
              </w:rPr>
              <w:t>11/01/2000</w:t>
            </w:r>
            <w:r>
              <w:rPr>
                <w:rFonts w:cs="Arial" w:ascii="Arial" w:hAnsi="Arial"/>
                <w:sz w:val="18"/>
                <w:szCs w:val="18"/>
              </w:rPr>
              <w:t xml:space="preserve"> </w:t>
            </w:r>
          </w:p>
        </w:tc>
      </w:tr>
      <w:tr>
        <w:trPr/>
        <w:tc>
          <w:tcPr>
            <w:tcW w:w="7471" w:type="dxa"/>
            <w:tcBorders/>
            <w:vAlign w:val="center"/>
          </w:tcPr>
          <w:p>
            <w:pPr>
              <w:pStyle w:val="Normal"/>
              <w:rPr>
                <w:rFonts w:ascii="Arial" w:hAnsi="Arial" w:eastAsia="Arial Unicode MS" w:cs="Arial"/>
                <w:sz w:val="18"/>
                <w:szCs w:val="18"/>
              </w:rPr>
            </w:pPr>
            <w:r>
              <w:rPr>
                <w:rStyle w:val="arialblack121"/>
              </w:rPr>
              <w:t>Dow Jones Energy Service</w:t>
            </w:r>
            <w:r>
              <w:rPr>
                <w:rFonts w:cs="Arial" w:ascii="Arial" w:hAnsi="Arial"/>
                <w:sz w:val="18"/>
                <w:szCs w:val="18"/>
              </w:rPr>
              <w:t xml:space="preserve"> </w:t>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rPr>
                <w:rFonts w:ascii="Arial" w:hAnsi="Arial" w:eastAsia="Arial Unicode MS" w:cs="Arial"/>
                <w:sz w:val="18"/>
                <w:szCs w:val="18"/>
              </w:rPr>
            </w:pPr>
            <w:r>
              <w:rPr>
                <w:rStyle w:val="arialblack121"/>
              </w:rPr>
              <w:t>(Copyright (c) 2000, Dow Jones &amp; Company, Inc.)</w:t>
            </w:r>
            <w:r>
              <w:rPr>
                <w:rFonts w:cs="Arial" w:ascii="Arial" w:hAnsi="Arial"/>
                <w:sz w:val="18"/>
                <w:szCs w:val="18"/>
              </w:rPr>
              <w:t xml:space="preserve"> </w:t>
            </w:r>
          </w:p>
        </w:tc>
      </w:tr>
      <w:tr>
        <w:trPr/>
        <w:tc>
          <w:tcPr>
            <w:tcW w:w="7471"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71" w:type="dxa"/>
            <w:tcBorders/>
            <w:vAlign w:val="center"/>
          </w:tcPr>
          <w:p>
            <w:pPr>
              <w:pStyle w:val="Normal"/>
              <w:rPr>
                <w:rFonts w:ascii="Arial" w:hAnsi="Arial" w:cs="Arial"/>
                <w:sz w:val="18"/>
                <w:szCs w:val="18"/>
              </w:rPr>
            </w:pPr>
            <w:r>
              <w:rPr>
                <w:rStyle w:val="arialblack121"/>
              </w:rPr>
              <w:t xml:space="preserve">(Corrected 1856GMT) </w:t>
            </w:r>
          </w:p>
          <w:p>
            <w:pPr>
              <w:pStyle w:val="NormalWeb"/>
              <w:spacing w:before="280" w:after="0"/>
              <w:rPr/>
            </w:pPr>
            <w:r>
              <w:rPr>
                <w:rStyle w:val="arialblack121"/>
              </w:rPr>
              <w:t>1833GMT</w:t>
            </w:r>
            <w:r>
              <w:rPr>
                <w:rFonts w:cs="Arial" w:ascii="Arial" w:hAnsi="Arial"/>
                <w:sz w:val="18"/>
                <w:szCs w:val="18"/>
              </w:rPr>
              <w:t xml:space="preserve"> </w:t>
            </w:r>
          </w:p>
        </w:tc>
      </w:tr>
      <w:tr>
        <w:trPr/>
        <w:tc>
          <w:tcPr>
            <w:tcW w:w="7471" w:type="dxa"/>
            <w:tcBorders/>
            <w:vAlign w:val="center"/>
          </w:tcPr>
          <w:p>
            <w:pPr>
              <w:pStyle w:val="Normal"/>
              <w:rPr>
                <w:rFonts w:ascii="Arial" w:hAnsi="Arial" w:eastAsia="Arial Unicode MS" w:cs="Arial"/>
                <w:sz w:val="18"/>
                <w:szCs w:val="18"/>
              </w:rPr>
            </w:pPr>
            <w:r>
              <w:rPr>
                <w:rFonts w:eastAsia="Arial Unicode MS" w:cs="Arial" w:ascii="Arial" w:hAnsi="Arial"/>
                <w:sz w:val="18"/>
                <w:szCs w:val="18"/>
              </w:rPr>
              <w:t> </w:t>
            </w:r>
          </w:p>
        </w:tc>
      </w:tr>
      <w:tr>
        <w:trPr/>
        <w:tc>
          <w:tcPr>
            <w:tcW w:w="7471" w:type="dxa"/>
            <w:tcBorders/>
            <w:vAlign w:val="center"/>
          </w:tcPr>
          <w:tbl>
            <w:tblPr>
              <w:tblW w:w="7425" w:type="dxa"/>
              <w:jc w:val="start"/>
              <w:tblInd w:w="8"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pPr>
                  <w:r>
                    <w:rPr>
                      <w:rFonts w:cs="Arial" w:ascii="Arial" w:hAnsi="Arial"/>
                      <w:sz w:val="18"/>
                      <w:szCs w:val="18"/>
                    </w:rPr>
                    <w:t xml:space="preserve">NEW YORK (Dow Jones)--In response to new </w:t>
                  </w:r>
                  <w:r>
                    <w:rPr>
                      <w:rStyle w:val="arialblackbold121"/>
                    </w:rPr>
                    <w:t>California</w:t>
                  </w:r>
                  <w:r>
                    <w:rPr>
                      <w:rFonts w:cs="Arial" w:ascii="Arial" w:hAnsi="Arial"/>
                      <w:sz w:val="18"/>
                      <w:szCs w:val="18"/>
                    </w:rPr>
                    <w:t xml:space="preserve"> power market rules proposed Wednesday by the U.S. Federal Energy Regulatory Commission, Enron Corp (ENE) has canceled some new generator projects it was discussing with the state's electric grid operator, Enron said. </w:t>
                  </w:r>
                </w:p>
                <w:p>
                  <w:pPr>
                    <w:pStyle w:val="NormalWeb"/>
                    <w:rPr>
                      <w:rFonts w:ascii="Arial" w:hAnsi="Arial" w:cs="Arial"/>
                      <w:sz w:val="18"/>
                      <w:szCs w:val="18"/>
                    </w:rPr>
                  </w:pPr>
                  <w:r>
                    <w:rPr>
                      <w:rStyle w:val="arialblack121"/>
                    </w:rPr>
                    <w:t xml:space="preserve">The generators that are no longer financially feasible would have amounted to 300 megawatts of new generation installed in </w:t>
                  </w:r>
                  <w:r>
                    <w:rPr>
                      <w:rStyle w:val="arialblackbold121"/>
                    </w:rPr>
                    <w:t>California</w:t>
                  </w:r>
                  <w:r>
                    <w:rPr>
                      <w:rStyle w:val="arialblack121"/>
                    </w:rPr>
                    <w:t xml:space="preserve"> next spring, Enron said. The company, however, continues to negotiate other new generator projects with the </w:t>
                  </w:r>
                  <w:r>
                    <w:rPr>
                      <w:rStyle w:val="arialblackbold121"/>
                    </w:rPr>
                    <w:t>California</w:t>
                  </w:r>
                  <w:r>
                    <w:rPr>
                      <w:rStyle w:val="arialblack121"/>
                    </w:rPr>
                    <w:t xml:space="preserve"> Independent System Operator. </w:t>
                  </w:r>
                </w:p>
                <w:p>
                  <w:pPr>
                    <w:pStyle w:val="NormalWeb"/>
                    <w:rPr>
                      <w:rFonts w:ascii="Arial" w:hAnsi="Arial" w:cs="Arial"/>
                      <w:sz w:val="18"/>
                      <w:szCs w:val="18"/>
                    </w:rPr>
                  </w:pPr>
                  <w:r>
                    <w:rPr>
                      <w:rStyle w:val="arialblack121"/>
                    </w:rPr>
                    <w:t xml:space="preserve">The </w:t>
                  </w:r>
                  <w:r>
                    <w:rPr>
                      <w:rStyle w:val="arialblackbold121"/>
                    </w:rPr>
                    <w:t>FERC</w:t>
                  </w:r>
                  <w:r>
                    <w:rPr>
                      <w:rStyle w:val="arialblack121"/>
                    </w:rPr>
                    <w:t xml:space="preserve"> Wednesday proposed limiting the </w:t>
                  </w:r>
                  <w:r>
                    <w:rPr>
                      <w:rStyle w:val="arialblackbold121"/>
                    </w:rPr>
                    <w:t>California</w:t>
                  </w:r>
                  <w:r>
                    <w:rPr>
                      <w:rStyle w:val="arialblack121"/>
                    </w:rPr>
                    <w:t xml:space="preserve"> Power Exchange's price setting mechanism to $150 a megawatt-hour. The preliminary order could become a federal mandate by the end of the year, after the </w:t>
                  </w:r>
                  <w:r>
                    <w:rPr>
                      <w:rStyle w:val="arialblackbold121"/>
                    </w:rPr>
                    <w:t>FERC</w:t>
                  </w:r>
                  <w:r>
                    <w:rPr>
                      <w:rStyle w:val="arialblack121"/>
                    </w:rPr>
                    <w:t xml:space="preserve"> takes comments from the public, or it could be modified. </w:t>
                  </w:r>
                </w:p>
                <w:p>
                  <w:pPr>
                    <w:pStyle w:val="NormalWeb"/>
                    <w:rPr>
                      <w:rFonts w:ascii="Arial" w:hAnsi="Arial" w:cs="Arial"/>
                      <w:sz w:val="18"/>
                      <w:szCs w:val="18"/>
                    </w:rPr>
                  </w:pPr>
                  <w:r>
                    <w:rPr>
                      <w:rStyle w:val="arialblack121"/>
                    </w:rPr>
                    <w:t xml:space="preserve">Enron and 13 other companies, meanwhile, are in final negotiations with the ISO for the new peaking capacity for next summer. The ISO plans to pay a total of $255 million a year for three years to the power companies for installing the new generators, which the power companies will own. </w:t>
                  </w:r>
                </w:p>
                <w:p>
                  <w:pPr>
                    <w:pStyle w:val="NormalWeb"/>
                    <w:rPr>
                      <w:rFonts w:ascii="Arial" w:hAnsi="Arial" w:cs="Arial"/>
                      <w:sz w:val="18"/>
                      <w:szCs w:val="18"/>
                    </w:rPr>
                  </w:pPr>
                  <w:r>
                    <w:rPr>
                      <w:rStyle w:val="arialblack121"/>
                    </w:rPr>
                    <w:t xml:space="preserve">In addition, </w:t>
                  </w:r>
                  <w:r>
                    <w:rPr>
                      <w:rStyle w:val="arialblackbold121"/>
                    </w:rPr>
                    <w:t>California</w:t>
                  </w:r>
                  <w:r>
                    <w:rPr>
                      <w:rStyle w:val="arialblack121"/>
                    </w:rPr>
                    <w:t xml:space="preserve">'s three investor-owned utilities would pay the generators for any electricity the new generators produce. Pricing for the power would likely be based on the daily price set by the state-chartered CalPX. </w:t>
                  </w:r>
                </w:p>
                <w:p>
                  <w:pPr>
                    <w:pStyle w:val="NormalWeb"/>
                    <w:rPr>
                      <w:rFonts w:ascii="Arial" w:hAnsi="Arial" w:cs="Arial"/>
                      <w:sz w:val="18"/>
                      <w:szCs w:val="18"/>
                    </w:rPr>
                  </w:pPr>
                  <w:r>
                    <w:rPr>
                      <w:rStyle w:val="arialblack121"/>
                    </w:rPr>
                    <w:t xml:space="preserve">"There's too much uncertainty that we would be able to recover the cost associated with those specific projects. For the purposes of making capital commitments, we view this as a $150 price cap," Enron's Mark Palmer said. </w:t>
                  </w:r>
                </w:p>
                <w:p>
                  <w:pPr>
                    <w:pStyle w:val="NormalWeb"/>
                    <w:rPr>
                      <w:rFonts w:ascii="Arial" w:hAnsi="Arial" w:cs="Arial"/>
                      <w:sz w:val="18"/>
                      <w:szCs w:val="18"/>
                    </w:rPr>
                  </w:pPr>
                  <w:r>
                    <w:rPr>
                      <w:rStyle w:val="arialblack121"/>
                    </w:rPr>
                    <w:t xml:space="preserve">Earlier Wednesday, the ISO's chief operating officer, Terry Winter, expressed concern that </w:t>
                  </w:r>
                  <w:r>
                    <w:rPr>
                      <w:rStyle w:val="arialblackbold121"/>
                    </w:rPr>
                    <w:t>FERC</w:t>
                  </w:r>
                  <w:r>
                    <w:rPr>
                      <w:rStyle w:val="arialblack121"/>
                    </w:rPr>
                    <w:t xml:space="preserve">'s proposed new rules could jeopardize some of the projects. </w:t>
                  </w:r>
                </w:p>
                <w:p>
                  <w:pPr>
                    <w:pStyle w:val="NormalWeb"/>
                    <w:rPr>
                      <w:rStyle w:val="lucidablack101"/>
                    </w:rPr>
                  </w:pPr>
                  <w:r>
                    <w:rPr>
                      <w:rStyle w:val="arialblackbold121"/>
                    </w:rPr>
                    <w:t>FERC</w:t>
                  </w:r>
                  <w:r>
                    <w:rPr>
                      <w:rStyle w:val="arialblack121"/>
                    </w:rPr>
                    <w:t xml:space="preserve">'s proposals Wednesday are the result of a two-month investigation of </w:t>
                  </w:r>
                  <w:r>
                    <w:rPr>
                      <w:rStyle w:val="arialblackbold121"/>
                    </w:rPr>
                    <w:t>California</w:t>
                  </w:r>
                  <w:r>
                    <w:rPr>
                      <w:rStyle w:val="arialblack121"/>
                    </w:rPr>
                    <w:t xml:space="preserve">'s wholesale electricity market, where prices this summer were three times what they were a year earlier. To meet the state's rising demand for power, </w:t>
                  </w:r>
                  <w:r>
                    <w:rPr>
                      <w:rStyle w:val="arialblackbold121"/>
                    </w:rPr>
                    <w:t>California</w:t>
                  </w:r>
                  <w:r>
                    <w:rPr>
                      <w:rStyle w:val="arialblack121"/>
                    </w:rPr>
                    <w:t xml:space="preserve">'s three utilities have paid billions of dollars more than anticipated to independent power producers in order to keep the lights on. </w:t>
                  </w:r>
                </w:p>
                <w:p>
                  <w:pPr>
                    <w:pStyle w:val="HTMLPreformatted"/>
                    <w:rPr>
                      <w:rStyle w:val="lucidablack101"/>
                    </w:rPr>
                  </w:pPr>
                  <w:r>
                    <w:rPr>
                      <w:color w:val="000000"/>
                    </w:rPr>
                    <w:t xml:space="preserve">   </w:t>
                  </w:r>
                  <w:r>
                    <w:rPr>
                      <w:color w:val="000000"/>
                    </w:rPr>
                    <w:t>By Mark Golden, Dow Jones Newswires; 201-938-4604;</w:t>
                  </w:r>
                </w:p>
                <w:p>
                  <w:pPr>
                    <w:pStyle w:val="HTMLPreformatted"/>
                    <w:rPr/>
                  </w:pPr>
                  <w:r>
                    <w:rPr>
                      <w:color w:val="000000"/>
                    </w:rPr>
                    <w:t>mark.golden@dowjones.com</w:t>
                  </w:r>
                </w:p>
                <w:p>
                  <w:pPr>
                    <w:pStyle w:val="HTMLPreformatted"/>
                    <w:rPr>
                      <w:color w:val="000000"/>
                    </w:rPr>
                  </w:pPr>
                  <w:r>
                    <w:rPr>
                      <w:color w:val="000000"/>
                    </w:rPr>
                    <w:t xml:space="preserve">     </w:t>
                  </w:r>
                </w:p>
              </w:tc>
            </w:tr>
          </w:tbl>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Console">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character" w:styleId="lucidablack101">
    <w:name w:val="lucidablack101"/>
    <w:basedOn w:val="DefaultParagraphFont"/>
    <w:qFormat/>
    <w:rPr>
      <w:rFonts w:ascii="Lucida Console" w:hAnsi="Lucida Console" w:cs="Lucida Console"/>
      <w:b w:val="false"/>
      <w:bCs w:val="false"/>
      <w:i w:val="false"/>
      <w:iCs w:val="false"/>
      <w:caps w:val="false"/>
      <w:smallCaps w:val="false"/>
      <w:color w:val="000000"/>
      <w:sz w:val="15"/>
      <w:szCs w:val="15"/>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z-TopofForm">
    <w:name w:val="z-Top of Form"/>
    <w:basedOn w:val="Normal"/>
    <w:next w:val="Normal"/>
    <w:qFormat/>
    <w:pPr>
      <w:pBdr>
        <w:bottom w:val="single" w:sz="6" w:space="1" w:color="000000"/>
      </w:pBdr>
      <w:jc w:val="center"/>
    </w:pPr>
    <w:rPr>
      <w:rFonts w:ascii="Arial" w:hAnsi="Arial" w:eastAsia="Arial Unicode MS" w:cs="Arial"/>
      <w:vanish/>
      <w:sz w:val="16"/>
      <w:szCs w:val="16"/>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z-BottomofForm">
    <w:name w:val="z-Bottom of Form"/>
    <w:basedOn w:val="Normal"/>
    <w:next w:val="Normal"/>
    <w:qFormat/>
    <w:pPr>
      <w:pBdr>
        <w:top w:val="single" w:sz="6" w:space="1" w:color="000000"/>
      </w:pBdr>
      <w:jc w:val="center"/>
    </w:pPr>
    <w:rPr>
      <w:rFonts w:ascii="Arial" w:hAnsi="Arial" w:eastAsia="Arial Unicode MS" w:cs="Arial"/>
      <w:vanish/>
      <w:sz w:val="16"/>
      <w:szCs w:val="16"/>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javascript:gotoPubDetail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2000-11-13T13:30:00Z</dcterms:created>
  <dc:creator>mbuster</dc:creator>
  <dc:description/>
  <dc:language>en-CA</dc:language>
  <cp:lastModifiedBy>mbuster</cp:lastModifiedBy>
  <dcterms:modified xsi:type="dcterms:W3CDTF">2000-11-13T14:11:00Z</dcterms:modified>
  <cp:revision>1</cp:revision>
  <dc:subject/>
  <dc:title/>
</cp:coreProperties>
</file>