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 Comments</w:t>
      </w:r>
    </w:p>
    <w:p>
      <w:pPr>
        <w:pStyle w:val="Heading"/>
        <w:rPr/>
      </w:pPr>
      <w:r>
        <w:rPr/>
        <w:t>(PGE’s Comments are at the end0</w:t>
      </w:r>
    </w:p>
    <w:p>
      <w:pPr>
        <w:pStyle w:val="Normal"/>
        <w:rPr>
          <w:bCs/>
        </w:rPr>
      </w:pPr>
      <w:r>
        <w:rPr>
          <w:bCs/>
        </w:rPr>
      </w:r>
    </w:p>
    <w:p>
      <w:pPr>
        <w:pStyle w:val="Normal"/>
        <w:numPr>
          <w:ilvl w:val="0"/>
          <w:numId w:val="6"/>
        </w:numPr>
        <w:rPr>
          <w:bCs/>
        </w:rPr>
      </w:pPr>
      <w:r>
        <w:rPr>
          <w:b/>
        </w:rPr>
        <w:t>Introduction</w:t>
      </w:r>
      <w:r>
        <w:rPr>
          <w:bCs/>
        </w:rPr>
        <w:t>.  Enron through its power marketing affiliate, Enron Power Marketing or EPMI, has operated as a power marketer in WSCC since 1996.  Today, EPMI is the largest power marketer in the west.  EPMI trades over xx notional MWs of power per year in the west.  EPMI trades both physical power and financial hedges and trades power on both a short and long-term basis.  Power marketers like EPMI bring power to customers who value it the most and reduce the need for new resources.</w:t>
      </w:r>
    </w:p>
    <w:p>
      <w:pPr>
        <w:pStyle w:val="Normal"/>
        <w:numPr>
          <w:ilvl w:val="0"/>
          <w:numId w:val="6"/>
        </w:numPr>
        <w:rPr>
          <w:bCs/>
        </w:rPr>
      </w:pPr>
      <w:r>
        <w:rPr>
          <w:bCs/>
        </w:rPr>
        <w:t xml:space="preserve">To deliver benefits to consumers, competitive power markets rely on certainty in business rules. </w:t>
      </w:r>
      <w:r>
        <w:rPr>
          <w:b/>
        </w:rPr>
        <w:t xml:space="preserve"> Any next step by the FERC must provide certainty and simplification to the rules that govern the marketplace.  </w:t>
      </w:r>
      <w:r>
        <w:rPr>
          <w:bCs/>
        </w:rPr>
        <w:t>Consider that</w:t>
      </w:r>
    </w:p>
    <w:p>
      <w:pPr>
        <w:pStyle w:val="Normal"/>
        <w:numPr>
          <w:ilvl w:val="1"/>
          <w:numId w:val="6"/>
        </w:numPr>
        <w:rPr>
          <w:bCs/>
        </w:rPr>
      </w:pPr>
      <w:r>
        <w:rPr>
          <w:bCs/>
        </w:rPr>
        <w:t xml:space="preserve">The current price mitigation has been changed </w:t>
      </w:r>
      <w:r>
        <w:rPr>
          <w:bCs/>
          <w:i/>
          <w:iCs/>
        </w:rPr>
        <w:t>seven</w:t>
      </w:r>
      <w:r>
        <w:rPr>
          <w:bCs/>
        </w:rPr>
        <w:t xml:space="preserve"> times since the Spring of 2000</w:t>
      </w:r>
      <w:r>
        <w:rPr>
          <w:rStyle w:val="FootnoteCharacters"/>
          <w:rStyle w:val="FootnoteReference"/>
          <w:bCs/>
        </w:rPr>
        <w:footnoteReference w:id="2"/>
      </w:r>
    </w:p>
    <w:p>
      <w:pPr>
        <w:pStyle w:val="Normal"/>
        <w:numPr>
          <w:ilvl w:val="1"/>
          <w:numId w:val="6"/>
        </w:numPr>
        <w:rPr>
          <w:bCs/>
        </w:rPr>
      </w:pPr>
      <w:r>
        <w:rPr>
          <w:bCs/>
        </w:rPr>
        <w:t>The current price mitigation for the entire WSCC is controlled by a the California ISO, which in turn is controlled by the governor of California</w:t>
      </w:r>
    </w:p>
    <w:p>
      <w:pPr>
        <w:pStyle w:val="Normal"/>
        <w:numPr>
          <w:ilvl w:val="1"/>
          <w:numId w:val="6"/>
        </w:numPr>
        <w:rPr>
          <w:bCs/>
        </w:rPr>
      </w:pPr>
      <w:r>
        <w:rPr>
          <w:bCs/>
        </w:rPr>
        <w:t>The current mitigation can change in any hour and cannot be known in advance with certainty</w:t>
      </w:r>
    </w:p>
    <w:p>
      <w:pPr>
        <w:pStyle w:val="Normal"/>
        <w:numPr>
          <w:ilvl w:val="1"/>
          <w:numId w:val="6"/>
        </w:numPr>
        <w:rPr>
          <w:bCs/>
        </w:rPr>
      </w:pPr>
      <w:r>
        <w:rPr>
          <w:bCs/>
        </w:rPr>
        <w:t>If the CAISO were to declare a Stage 1 emergency for a full hour today, the price ceiling for the WSCC would fall to $31/MWh</w:t>
      </w:r>
      <w:r>
        <w:rPr>
          <w:rStyle w:val="FootnoteCharacters"/>
          <w:rStyle w:val="FootnoteReference"/>
          <w:bCs/>
        </w:rPr>
        <w:footnoteReference w:id="3"/>
      </w:r>
      <w:r>
        <w:rPr>
          <w:bCs/>
        </w:rPr>
        <w:t xml:space="preserve">The current WSCC-wide Section 206 investigation leaves puts all sellers on a continual refund risk.   No transaction is yet final. </w:t>
      </w:r>
    </w:p>
    <w:p>
      <w:pPr>
        <w:pStyle w:val="Normal"/>
        <w:ind w:start="1080" w:end="0"/>
        <w:rPr>
          <w:bCs/>
        </w:rPr>
      </w:pPr>
      <w:r>
        <w:rPr>
          <w:bCs/>
        </w:rPr>
        <w:t>Uncertainty of the kind placed on the market in the last 18 months has increased risk premiums and transaction costs.</w:t>
      </w:r>
    </w:p>
    <w:p>
      <w:pPr>
        <w:pStyle w:val="Normal"/>
        <w:numPr>
          <w:ilvl w:val="0"/>
          <w:numId w:val="6"/>
        </w:numPr>
        <w:rPr>
          <w:bCs/>
        </w:rPr>
      </w:pPr>
      <w:r>
        <w:rPr>
          <w:bCs/>
        </w:rPr>
        <w:t>The current mitigation mechanism has been more or less pegged at $91.87 since June 20</w:t>
      </w:r>
      <w:r>
        <w:rPr>
          <w:bCs/>
          <w:vertAlign w:val="superscript"/>
        </w:rPr>
        <w:t>th</w:t>
      </w:r>
      <w:r>
        <w:rPr>
          <w:rStyle w:val="FootnoteCharacters"/>
          <w:rStyle w:val="FootnoteReference"/>
          <w:bCs/>
        </w:rPr>
        <w:footnoteReference w:id="4"/>
      </w:r>
      <w:r>
        <w:rPr>
          <w:bCs/>
        </w:rPr>
        <w:t xml:space="preserve">.  Only a couple of days have seen market prices at or near the cap (Figure 1). </w:t>
      </w:r>
      <w:r>
        <w:rPr>
          <w:b/>
        </w:rPr>
        <w:t xml:space="preserve"> Thus the current cap has had little effect in controlling prices thus far. </w:t>
      </w:r>
      <w:r>
        <w:rPr>
          <w:bCs/>
        </w:rPr>
        <w:t xml:space="preserve"> Instead market fundamentals have caused the substantial price drop seen beginning in late May.  Although the cap may serve to limit price spikes it the future, it will degrade reliability, thwart the development of peaking resources, and delay the day that meaningful on-peak demand responsiveness program will be create.</w:t>
      </w:r>
    </w:p>
    <w:p>
      <w:pPr>
        <w:pStyle w:val="Normal"/>
        <w:numPr>
          <w:ilvl w:val="0"/>
          <w:numId w:val="6"/>
        </w:numPr>
        <w:rPr>
          <w:b/>
        </w:rPr>
      </w:pPr>
      <w:r>
        <w:rPr>
          <w:bCs/>
        </w:rPr>
        <w:t>EPMI’s recommends that the FERC not add another addition to its “Rube Goldberg” system.</w:t>
      </w:r>
      <w:r>
        <w:rPr>
          <w:b/>
        </w:rPr>
        <w:t xml:space="preserve">  Specifically, EPMI recommends to the FERC:</w:t>
      </w:r>
    </w:p>
    <w:p>
      <w:pPr>
        <w:pStyle w:val="Normal"/>
        <w:numPr>
          <w:ilvl w:val="1"/>
          <w:numId w:val="6"/>
        </w:numPr>
        <w:rPr>
          <w:b/>
        </w:rPr>
      </w:pPr>
      <w:r>
        <w:rPr>
          <w:b/>
        </w:rPr>
        <w:t>Immediately remove the WSCC-wide mitigation altogether</w:t>
      </w:r>
    </w:p>
    <w:p>
      <w:pPr>
        <w:pStyle w:val="Normal"/>
        <w:numPr>
          <w:ilvl w:val="1"/>
          <w:numId w:val="6"/>
        </w:numPr>
        <w:rPr>
          <w:b/>
        </w:rPr>
      </w:pPr>
      <w:r>
        <w:rPr>
          <w:b/>
        </w:rPr>
        <w:t>To the extent any WSCC wide price mitigation is left in place</w:t>
      </w:r>
    </w:p>
    <w:p>
      <w:pPr>
        <w:pStyle w:val="Normal"/>
        <w:numPr>
          <w:ilvl w:val="2"/>
          <w:numId w:val="6"/>
        </w:numPr>
        <w:rPr>
          <w:bCs/>
        </w:rPr>
      </w:pPr>
      <w:r>
        <w:rPr>
          <w:b/>
        </w:rPr>
        <w:t>Remove any control of it by the CAISO</w:t>
      </w:r>
      <w:r>
        <w:rPr>
          <w:bCs/>
        </w:rPr>
        <w:t xml:space="preserve">.  Instead, make the cap equal to the </w:t>
      </w:r>
      <w:r>
        <w:rPr>
          <w:bCs/>
          <w:i/>
          <w:iCs/>
        </w:rPr>
        <w:t>higher</w:t>
      </w:r>
      <w:r>
        <w:rPr>
          <w:bCs/>
        </w:rPr>
        <w:t xml:space="preserve"> of a fixed cap or a gas-based index.</w:t>
      </w:r>
    </w:p>
    <w:p>
      <w:pPr>
        <w:pStyle w:val="Normal"/>
        <w:numPr>
          <w:ilvl w:val="3"/>
          <w:numId w:val="6"/>
        </w:numPr>
        <w:rPr>
          <w:bCs/>
        </w:rPr>
      </w:pPr>
      <w:r>
        <w:rPr>
          <w:bCs/>
        </w:rPr>
        <w:t>Furthermore, any gas-based index must be based on daily gas prices, not month-ahead prices.  At this point prices will only rise above the $91.87/MWh level due to a supply disruption or weather event.  Such events are short-term in nature and month-ahead gas prices will not properly reflect opportunity costs on such days.</w:t>
      </w:r>
    </w:p>
    <w:p>
      <w:pPr>
        <w:pStyle w:val="Normal"/>
        <w:numPr>
          <w:ilvl w:val="2"/>
          <w:numId w:val="6"/>
        </w:numPr>
        <w:rPr>
          <w:b/>
        </w:rPr>
      </w:pPr>
      <w:r>
        <w:rPr>
          <w:b/>
        </w:rPr>
        <w:t>Consistently apply any change WSCC-wide</w:t>
      </w:r>
    </w:p>
    <w:p>
      <w:pPr>
        <w:pStyle w:val="Normal"/>
        <w:numPr>
          <w:ilvl w:val="0"/>
          <w:numId w:val="6"/>
        </w:numPr>
        <w:rPr>
          <w:bCs/>
        </w:rPr>
      </w:pPr>
      <w:r>
        <w:rPr>
          <w:bCs/>
        </w:rPr>
        <w:t xml:space="preserve">EPMI recognizes that the concern over the current cap is that it puts customers on winter peaking systems at risk for reliable power. The current cap will make it difficult to elicit supply, especially from hydroelectric and out-of-area resources should a price spike occur.  </w:t>
      </w:r>
      <w:r>
        <w:rPr>
          <w:b/>
        </w:rPr>
        <w:t xml:space="preserve">However, true improvement to reliability in the PNW and the rest of the west will only come via the aggressive pursuit of an integrated independent RTO. </w:t>
      </w:r>
      <w:r>
        <w:rPr>
          <w:bCs/>
        </w:rPr>
        <w:t xml:space="preserve"> </w:t>
      </w:r>
    </w:p>
    <w:p>
      <w:pPr>
        <w:pStyle w:val="Normal"/>
        <w:numPr>
          <w:ilvl w:val="1"/>
          <w:numId w:val="6"/>
        </w:numPr>
        <w:rPr>
          <w:bCs/>
        </w:rPr>
      </w:pPr>
      <w:r>
        <w:rPr>
          <w:bCs/>
        </w:rPr>
        <w:t>The CAISO still has unilateral control over marginal export capacity to the Pacific Northwest from California and the Desert Southwest.  Even if FERC wrestles control of the cap from the California governor, CAISO can still manipulate export capacity to its benefit (chart—to be completed).</w:t>
      </w:r>
    </w:p>
    <w:p>
      <w:pPr>
        <w:pStyle w:val="Normal"/>
        <w:numPr>
          <w:ilvl w:val="1"/>
          <w:numId w:val="6"/>
        </w:numPr>
        <w:rPr>
          <w:bCs/>
        </w:rPr>
      </w:pPr>
      <w:r>
        <w:rPr>
          <w:bCs/>
        </w:rPr>
        <w:t>Only a return to independent Board governance at CAISO and the creation of a single Western RTO (or alternatively, improved seams between CAISO and the rest of the WSCC) will the PNW really get what it seeks here today.</w:t>
      </w:r>
      <w:r>
        <w:br w:type="page"/>
      </w:r>
    </w:p>
    <w:p>
      <w:pPr>
        <w:pStyle w:val="Normal"/>
        <w:rPr>
          <w:bCs/>
          <w:sz w:val="20"/>
          <w:lang w:val="en-CA" w:eastAsia="en-CA"/>
        </w:rPr>
      </w:pPr>
      <w:r>
        <w:rPr>
          <w:bCs/>
          <w:sz w:val="20"/>
          <w:lang w:val="en-CA" w:eastAsia="en-CA"/>
        </w:rPr>
        <w:drawing>
          <wp:anchor behindDoc="0" distT="0" distB="0" distL="114935" distR="114935" simplePos="0" locked="0" layoutInCell="0" allowOverlap="1" relativeHeight="2">
            <wp:simplePos x="0" y="0"/>
            <wp:positionH relativeFrom="column">
              <wp:posOffset>-228600</wp:posOffset>
            </wp:positionH>
            <wp:positionV relativeFrom="paragraph">
              <wp:posOffset>-913765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p>
    <w:p>
      <w:pPr>
        <w:pStyle w:val="Normal"/>
        <w:rPr>
          <w:bCs/>
        </w:rPr>
      </w:pPr>
      <w:r>
        <w:rPr>
          <w:bCs/>
        </w:rPr>
      </w:r>
      <w:r>
        <w:br w:type="page"/>
      </w:r>
    </w:p>
    <w:p>
      <w:pPr>
        <w:pStyle w:val="Normal"/>
        <w:rPr>
          <w:b/>
        </w:rPr>
      </w:pPr>
      <w:r>
        <w:rPr>
          <w:b/>
        </w:rPr>
        <w:t>PGE Comments: West-Wide Price Mitigation</w:t>
      </w:r>
    </w:p>
    <w:p>
      <w:pPr>
        <w:pStyle w:val="Heading1"/>
        <w:ind w:hanging="0" w:start="0"/>
        <w:rPr/>
      </w:pPr>
      <w:r>
        <w:rPr/>
        <w:t>Outline of Comments for Technical Conference</w:t>
      </w:r>
    </w:p>
    <w:p>
      <w:pPr>
        <w:pStyle w:val="Normal"/>
        <w:rPr/>
      </w:pPr>
      <w:r>
        <w:rPr/>
      </w:r>
    </w:p>
    <w:p>
      <w:pPr>
        <w:pStyle w:val="Normal"/>
        <w:rPr/>
      </w:pPr>
      <w:r>
        <w:rPr/>
      </w:r>
    </w:p>
    <w:p>
      <w:pPr>
        <w:pStyle w:val="Normal"/>
        <w:rPr/>
      </w:pPr>
      <w:r>
        <w:rPr/>
      </w:r>
    </w:p>
    <w:p>
      <w:pPr>
        <w:pStyle w:val="Normal"/>
        <w:spacing w:lineRule="auto" w:line="480"/>
        <w:rPr/>
      </w:pPr>
      <w:r>
        <w:rPr/>
        <w:t>The following is an outline of a proposed oral presentation to the FERC Technical Conference to be held on October 29, 2001:</w:t>
      </w:r>
    </w:p>
    <w:p>
      <w:pPr>
        <w:pStyle w:val="Normal"/>
        <w:numPr>
          <w:ilvl w:val="0"/>
          <w:numId w:val="7"/>
        </w:numPr>
        <w:rPr/>
      </w:pPr>
      <w:r>
        <w:rPr/>
        <w:t>The market in the PNW is not fundamentally flawed.  The record in EL01-10 proved that the market has multiple buyers and sellers who trade on a bilateral basis and not through a centralized auction or clearing house.  The record also showed that a variety of market products exist.  Buyers are able to and do structure balanced portfolios of owned generation, long-term contracts, short-term contracts, spot market contracts, and financial hedges.  No market participant has market power, there is no need to restructure any part of the market in the PNW, and, as the California situation stabilizes, there is no reason to continue price caps for the PNW.</w:t>
      </w:r>
    </w:p>
    <w:p>
      <w:pPr>
        <w:pStyle w:val="Normal"/>
        <w:rPr/>
      </w:pPr>
      <w:r>
        <w:rPr/>
      </w:r>
    </w:p>
    <w:p>
      <w:pPr>
        <w:pStyle w:val="Normal"/>
        <w:numPr>
          <w:ilvl w:val="0"/>
          <w:numId w:val="2"/>
        </w:numPr>
        <w:rPr/>
      </w:pPr>
      <w:r>
        <w:rPr/>
        <w:t>In imposing any market mitigation plan, the Commission must weigh the benefit of price mitigation in the PNW against short-term reliability issues this winter and also against the pressing need for additional generation capacity in the region over the long-term.</w:t>
      </w:r>
    </w:p>
    <w:p>
      <w:pPr>
        <w:pStyle w:val="Normal"/>
        <w:rPr/>
      </w:pPr>
      <w:r>
        <w:rPr/>
      </w:r>
    </w:p>
    <w:p>
      <w:pPr>
        <w:pStyle w:val="Normal"/>
        <w:numPr>
          <w:ilvl w:val="0"/>
          <w:numId w:val="3"/>
        </w:numPr>
        <w:rPr/>
      </w:pPr>
      <w:r>
        <w:rPr/>
        <w:t>It is unpalatable and economically unjust for a political body within the State of California (i.e., the ISO) to establish price caps based upon factors within that state, which are then imposed on the 10 other states in the region.</w:t>
      </w:r>
    </w:p>
    <w:p>
      <w:pPr>
        <w:pStyle w:val="Normal"/>
        <w:rPr/>
      </w:pPr>
      <w:r>
        <w:rPr/>
      </w:r>
    </w:p>
    <w:p>
      <w:pPr>
        <w:pStyle w:val="Normal"/>
        <w:numPr>
          <w:ilvl w:val="0"/>
          <w:numId w:val="5"/>
        </w:numPr>
        <w:rPr/>
      </w:pPr>
      <w:r>
        <w:rPr/>
        <w:t>Any price mitigation plan adopted by the Commission must take into account that the PNW is a winter peaking region and should not be subjected to caps set in the off-peak by another state.</w:t>
      </w:r>
    </w:p>
    <w:p>
      <w:pPr>
        <w:pStyle w:val="Normal"/>
        <w:rPr/>
      </w:pPr>
      <w:r>
        <w:rPr/>
      </w:r>
    </w:p>
    <w:p>
      <w:pPr>
        <w:pStyle w:val="Normal"/>
        <w:numPr>
          <w:ilvl w:val="0"/>
          <w:numId w:val="4"/>
        </w:numPr>
        <w:rPr/>
      </w:pPr>
      <w:r>
        <w:rPr/>
        <w:t>Given the above, PGE makes the following proposal:</w:t>
      </w:r>
    </w:p>
    <w:p>
      <w:pPr>
        <w:pStyle w:val="Normal"/>
        <w:rPr/>
      </w:pPr>
      <w:r>
        <w:rPr/>
      </w:r>
    </w:p>
    <w:p>
      <w:pPr>
        <w:pStyle w:val="Normal"/>
        <w:numPr>
          <w:ilvl w:val="0"/>
          <w:numId w:val="4"/>
        </w:numPr>
        <w:tabs>
          <w:tab w:val="left" w:pos="720" w:leader="none"/>
        </w:tabs>
        <w:ind w:hanging="360" w:start="720" w:end="0"/>
        <w:rPr/>
      </w:pPr>
      <w:r>
        <w:rPr>
          <w:rFonts w:eastAsia="Arial"/>
        </w:rPr>
        <w:t xml:space="preserve"> </w:t>
      </w:r>
      <w:r>
        <w:rPr/>
        <w:t>Price caps should be lifted for the PNW during the winter season to test the market and to try to assure availability of supply to the greatest extent possible.</w:t>
      </w:r>
    </w:p>
    <w:p>
      <w:pPr>
        <w:pStyle w:val="Normal"/>
        <w:numPr>
          <w:ilvl w:val="0"/>
          <w:numId w:val="4"/>
        </w:numPr>
        <w:tabs>
          <w:tab w:val="left" w:pos="720" w:leader="none"/>
        </w:tabs>
        <w:ind w:hanging="360" w:start="720" w:end="0"/>
        <w:rPr/>
      </w:pPr>
      <w:r>
        <w:rPr/>
        <w:t>The Commission should retain jurisdiction, including the ability to re-impose price caps immediately, but prospectively, if it appears that prices are reaching untenable levels.</w:t>
      </w:r>
    </w:p>
    <w:p>
      <w:pPr>
        <w:pStyle w:val="Normal"/>
        <w:numPr>
          <w:ilvl w:val="0"/>
          <w:numId w:val="4"/>
        </w:numPr>
        <w:tabs>
          <w:tab w:val="left" w:pos="720" w:leader="none"/>
        </w:tabs>
        <w:ind w:hanging="360" w:start="720" w:end="0"/>
        <w:rPr/>
      </w:pPr>
      <w:r>
        <w:rPr/>
        <w:t>The price cap, if re-imposed, should be at least 100% of the most recent price cap established in California for reserve deficiency hours.  The cap must, at the least, allow all of the generation available to be dispatched, if the market so requires.</w:t>
      </w:r>
    </w:p>
    <w:sectPr>
      <w:headerReference w:type="default" r:id="rId3"/>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750, 500, 250, 250 soft cap, 250 soft cap, April 26, June 19.</w:t>
      </w:r>
    </w:p>
  </w:footnote>
  <w:footnote w:id="3">
    <w:p>
      <w:pPr>
        <w:pStyle w:val="FootnoteText"/>
        <w:rPr/>
      </w:pPr>
      <w:r>
        <w:rPr>
          <w:rStyle w:val="FootnoteCharacters"/>
        </w:rPr>
        <w:footnoteRef/>
      </w:r>
      <w:r>
        <w:rPr/>
        <w:t xml:space="preserve"> </w:t>
      </w:r>
      <w:r>
        <w:rPr/>
        <w:t>check number</w:t>
      </w:r>
    </w:p>
  </w:footnote>
  <w:footnote w:id="4">
    <w:p>
      <w:pPr>
        <w:pStyle w:val="FootnoteText"/>
        <w:rPr/>
      </w:pPr>
      <w:r>
        <w:rPr>
          <w:rStyle w:val="FootnoteCharacters"/>
        </w:rPr>
        <w:footnoteRef/>
      </w:r>
      <w:r>
        <w:rPr/>
        <w:t xml:space="preserve"> </w:t>
      </w:r>
      <w:r>
        <w:rPr/>
        <w:t>Check date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CONFIDENTIAL ATTY-CLIENT WORK PRODUCT </w:t>
    </w:r>
  </w:p>
  <w:p>
    <w:pPr>
      <w:pStyle w:val="Header"/>
      <w:jc w:val="end"/>
      <w:rPr/>
    </w:pPr>
    <w:r>
      <w:rPr>
        <w:b/>
        <w:bCs/>
      </w:rPr>
      <w:t xml:space="preserve">DRAFT 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w:t>
    </w:r>
    <w:r>
      <w:rPr>
        <w:rStyle w:val="PageNumbe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2001-10-19T20:01:00Z</dcterms:created>
  <dc:creator>CMF</dc:creator>
  <dc:description/>
  <dc:language>en-CA</dc:language>
  <cp:lastModifiedBy>acomnes</cp:lastModifiedBy>
  <cp:lastPrinted>2001-10-15T17:31:00Z</cp:lastPrinted>
  <dcterms:modified xsi:type="dcterms:W3CDTF">2001-10-19T22:44:00Z</dcterms:modified>
  <cp:revision>3</cp:revision>
  <dc:subject/>
  <dc:title>West Wide Price Mitigation</dc:title>
</cp:coreProperties>
</file>