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before="120" w:after="120"/>
        <w:ind w:hanging="0" w:end="0"/>
        <w:rPr/>
      </w:pPr>
      <w:r>
        <w:rPr/>
        <w:t xml:space="preserve">Transforming Enron Corporation as an Act of Managerial Will—The Value of Active Management </w:t>
      </w:r>
    </w:p>
    <w:p>
      <w:pPr>
        <w:pStyle w:val="BodyText"/>
        <w:spacing w:before="0" w:after="0"/>
        <w:ind w:hanging="0" w:end="0"/>
        <w:jc w:val="center"/>
        <w:rPr>
          <w:sz w:val="20"/>
        </w:rPr>
      </w:pPr>
      <w:r>
        <w:rPr>
          <w:sz w:val="20"/>
        </w:rPr>
        <w:t>Vince Kaminski, PhD (Director of Research, Enron Corporation, Houston, TX) and John Martin, PhD (Carr P. Collins Chair of Finance, Baylor University, Waco, TX)</w:t>
      </w:r>
    </w:p>
    <w:p>
      <w:pPr>
        <w:pStyle w:val="Heading1"/>
        <w:rPr/>
      </w:pPr>
      <w:r>
        <w:rPr/>
        <w:t>Introduction</w:t>
      </w:r>
    </w:p>
    <w:p>
      <w:pPr>
        <w:pStyle w:val="Normal"/>
        <w:rPr/>
      </w:pPr>
      <w:r>
        <w:rPr/>
        <w:t>Virtually every firm that has existed for many years has gone through one or more transformations.  Typically, the transformation process is precipitated by changes in the economy or the firm's competitive environment.  If the firm's reaction(s) is (are) successful it continues to survive and may even prosper.  For example, most of us know Nokia as a leading provider of wireless phones.  What you may not know is that Nokia was formed in 1865 to harvest forest products near the small town of Nokia, Finland.   Over many years the company evolved into the successful firm we know today.</w:t>
      </w:r>
      <w:r>
        <w:rPr>
          <w:rStyle w:val="FootnoteCharacters"/>
          <w:rStyle w:val="FootnoteReference"/>
        </w:rPr>
        <w:footnoteReference w:id="2"/>
      </w:r>
      <w:r>
        <w:rPr/>
        <w:t xml:space="preserve">  </w:t>
      </w:r>
    </w:p>
    <w:p>
      <w:pPr>
        <w:pStyle w:val="Normal"/>
        <w:rPr/>
      </w:pPr>
      <w:r>
        <w:rPr/>
        <w:t>There are, however, some instances in where a firm's leadership actively pursues change to increase the competitiveness of their organizations.  The Sealed Air Corporation provides one such example.</w:t>
      </w:r>
      <w:r>
        <w:rPr>
          <w:rStyle w:val="FootnoteCharacters"/>
          <w:rStyle w:val="FootnoteReference"/>
        </w:rPr>
        <w:footnoteReference w:id="3"/>
      </w:r>
      <w:r>
        <w:rPr/>
        <w:t xml:space="preserve">  In 1989, less than a year after the firm had embarked on a program to improve manufacturing efficiency and product quality, the company borrowed almost 90% of the market value of its common stock and paid it out as a special dividend to shareholders.  Management purposefully and successfully used the leveraged recapitalization as a watershed event to create a crisis that disrupted the status quo and promoted internal change.  Internal changes included establishing a new objective, changing compensation systems, and reorganizing manufacturing and capital budgeting processes.  However, even this dramatic transformation was in large part a reaction to the fact that Sealed Air was losing its product patents and forced with the prospect of entering a very competitive environment for the first time in its existence.  The Enron transformation story is equally dramatic, and its impact may well prove to be longer lasting.  This is the story of the transformation of the Enron Corporation from a natural gas pipeline company into the innovative and competitive leader of the energy market.  </w:t>
      </w:r>
    </w:p>
    <w:p>
      <w:pPr>
        <w:pStyle w:val="Normal"/>
        <w:rPr/>
      </w:pPr>
      <w:r>
        <w:rPr/>
        <w:t xml:space="preserve">Enron Corporation was formed through the merger of InterNorth and Houston Natural Gas Corporation to form HNG/InterNorth in 1985.  The origins of the firm can be traced back to 1930 when the Northern Natural Gas Company was organized in Omaha, Nebraska by three companies:  North American Light &amp; Power Co., United Light &amp; Railways Co., and Lone Star Corporation.  However, the modern history of the firm stands in marked contrast to its beginnings.  Today the Enron Corporation is the leading power marketer in the world and is also a leader in applying the skills developed from competing in the deregulation of the natural gas market to similar situations in the electric power market and most recently in the developing market for broadband.  Enron has been named Fortune Magazine's Most Innovative Company for five straight years, and in 2000 joined the Fortune's list of Most Admired Companies and 100 Best Companies to Work for in America. </w:t>
      </w:r>
    </w:p>
    <w:p>
      <w:pPr>
        <w:pStyle w:val="Normal"/>
        <w:rPr/>
      </w:pPr>
      <w:r>
        <w:rPr/>
        <w:t xml:space="preserve">In this paper we describe for the first time the blueprint used by Enron's leadership to transform the company into a dynamic, competitive and innovative value creator.  We document the implementation of Enron's business strategy through the stories of its many successful and some not so successful ventures.  These stories document a purposeful transformation of Enron from a natural gas pipeline company operating in a regulated industry into the dynamic entrepreneurial enterprise that has literally defined the power industry and is the leading creator of financial derivative products not only for energy related products but also for broadband and even weather based derivative products.   </w:t>
      </w:r>
    </w:p>
    <w:p>
      <w:pPr>
        <w:pStyle w:val="Heading1"/>
        <w:rPr/>
      </w:pPr>
      <w:r>
        <w:rPr/>
        <w:t xml:space="preserve">A impetus for change at Enron </w:t>
      </w:r>
    </w:p>
    <w:p>
      <w:pPr>
        <w:pStyle w:val="Normal"/>
        <w:rPr/>
      </w:pPr>
      <w:r>
        <w:rPr/>
        <w:t>The evolution of Enron from regulated pipeline to the competitive juggernaut we see today was a result of both external forces and strategic choices made by its management.  Enron's creation in 1985 came on the eve of the energy crisis of 1986.  Falling gas prices coupled with two unrelated company disasters gave the company a "near death" experience following the difficult 1986-87 period.</w:t>
      </w:r>
      <w:r>
        <w:rPr>
          <w:rStyle w:val="FootnoteCharacters"/>
          <w:rStyle w:val="FootnoteReference"/>
        </w:rPr>
        <w:footnoteReference w:id="4"/>
      </w:r>
      <w:r>
        <w:rPr/>
        <w:t xml:space="preserve">   </w:t>
      </w:r>
      <w:r>
        <mc:AlternateContent>
          <mc:Choice Requires="wps">
            <w:drawing>
              <wp:anchor behindDoc="1" distT="0" distB="0" distL="114935" distR="114935" simplePos="0" locked="0" layoutInCell="0" allowOverlap="1" relativeHeight="3">
                <wp:simplePos x="0" y="0"/>
                <wp:positionH relativeFrom="column">
                  <wp:posOffset>2757805</wp:posOffset>
                </wp:positionH>
                <wp:positionV relativeFrom="paragraph">
                  <wp:posOffset>31115</wp:posOffset>
                </wp:positionV>
                <wp:extent cx="2713990" cy="113284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2713990" cy="1132840"/>
                        </a:xfrm>
                        <a:prstGeom prst="rect"/>
                        <a:solidFill>
                          <a:srgbClr val="FFFFFF"/>
                        </a:solidFill>
                        <a:ln w="9525">
                          <a:solidFill>
                            <a:srgbClr val="000000"/>
                          </a:solidFill>
                        </a:ln>
                      </wps:spPr>
                      <wps:txbx>
                        <w:txbxContent>
                          <w:p>
                            <w:pPr>
                              <w:pStyle w:val="Normal"/>
                              <w:spacing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1996-87 period.  Mark Palmer, Managing Director of Corporate Communications,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213.7pt;height:89.2pt;mso-wrap-distance-left:9.05pt;mso-wrap-distance-right:9.05pt;mso-wrap-distance-top:0pt;mso-wrap-distance-bottom:0pt;margin-top:2.45pt;mso-position-vertical-relative:text;margin-left:217.15pt;mso-position-horizontal-relative:text">
                <v:textbox>
                  <w:txbxContent>
                    <w:p>
                      <w:pPr>
                        <w:pStyle w:val="Normal"/>
                        <w:spacing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1996-87 period.  Mark Palmer, Managing Director of Corporate Communications, Enron Corporation.</w:t>
                      </w:r>
                    </w:p>
                  </w:txbxContent>
                </v:textbox>
                <w10:wrap type="square"/>
              </v:rect>
            </w:pict>
          </mc:Fallback>
        </mc:AlternateContent>
      </w:r>
    </w:p>
    <w:p>
      <w:pPr>
        <w:pStyle w:val="Normal"/>
        <w:rPr/>
      </w:pPr>
      <w:r>
        <w:rPr/>
        <w:t>The tough experience during these early years provided a sense of genuine urgency that led to the decision to transform the company.  President Jeff Skilling describes the meeting where the decision to embark on the bold plan to transform the company as the "come to Jesus" meeting.  Out of that meeting came the strategy to (i) set up the gas bank,</w:t>
      </w:r>
      <w:r>
        <w:rPr>
          <w:rStyle w:val="FootnoteCharacters"/>
          <w:rStyle w:val="FootnoteReference"/>
        </w:rPr>
        <w:footnoteReference w:id="5"/>
      </w:r>
      <w:r>
        <w:rPr/>
        <w:t xml:space="preserve"> (ii) initiate derivatives trading in energy products, (iii) reduce the organizational layers from 15 to 4, (iv) put in place a new program for performance evaluation and compensation, (v) radically improve the caliber of people in the organization, and (vi) create a fast moving culture.  </w:t>
      </w:r>
      <w:r>
        <mc:AlternateContent>
          <mc:Choice Requires="wps">
            <w:drawing>
              <wp:anchor behindDoc="1" distT="0" distB="0" distL="114935" distR="114935" simplePos="0" locked="0" layoutInCell="0" allowOverlap="1" relativeHeight="6">
                <wp:simplePos x="0" y="0"/>
                <wp:positionH relativeFrom="column">
                  <wp:posOffset>3148330</wp:posOffset>
                </wp:positionH>
                <wp:positionV relativeFrom="paragraph">
                  <wp:posOffset>1505585</wp:posOffset>
                </wp:positionV>
                <wp:extent cx="2323465" cy="101854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2323465" cy="101854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82.95pt;height:80.2pt;mso-wrap-distance-left:9.05pt;mso-wrap-distance-right:9.05pt;mso-wrap-distance-top:0pt;mso-wrap-distance-bottom:0pt;margin-top:118.55pt;mso-position-vertical-relative:text;margin-left:247.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v:textbox>
                <w10:wrap type="square"/>
              </v:rect>
            </w:pict>
          </mc:Fallback>
        </mc:AlternateContent>
      </w:r>
    </w:p>
    <w:p>
      <w:pPr>
        <w:pStyle w:val="Heading1"/>
        <w:rPr/>
      </w:pPr>
      <w:r>
        <w:rPr/>
        <w:t>The Enron business strategy</w:t>
      </w:r>
    </w:p>
    <w:p>
      <w:pPr>
        <w:pStyle w:val="Normal"/>
        <w:rPr/>
      </w:pPr>
      <w:r>
        <w:rPr/>
        <w:t xml:space="preserve">Basically the market is Enron's business model.  The firm manages an internal market for labor and capital that attempt to emulate the allocations that would occur in an external market.  These internal markets are managed in the context of an organizational environment that President Jeff Skilling calls "loose-tight".  He describes only two things at Enron that are not subject to negotiation.  The first relates to the firm's personnel evaluation policy whereby every employee is evaluated twice annually.  The second is corporate wide risk management in which every decision and commitment Enron makes is incorporated into the corporate risk management program.  </w:t>
      </w:r>
    </w:p>
    <w:p>
      <w:pPr>
        <w:pStyle w:val="Normal"/>
        <w:rPr/>
      </w:pPr>
      <w:r>
        <w:rPr/>
        <w:t xml:space="preserve">There is no strategic planning committee at Enron.  CEO Ken Lay describes the strategic planning process as follows:  Ideas flow up from within the firm and it is top management's responsibility to make sure that the money and resources of the corporation flow to the projects that attract our people.  In fact, the capital allocation process provides an interesting example of the inner workings of the Enron business model.  Within Enron personnel are allowed to move freely from one business unit to another so long as they can convince the new unit to hire them.  In this way human resources are continually reallocated to where the greatest perceived opportunities lie.  Enron's top management then allocates financial capital in accordance with human capital flows.  The idea is that the rank and file employees vote with their feet when they move from one unit to another and that their choices are a reliable signal of the value of the investment prospect. </w:t>
      </w:r>
      <w:r>
        <mc:AlternateContent>
          <mc:Choice Requires="wps">
            <w:drawing>
              <wp:anchor behindDoc="1" distT="0" distB="0" distL="114935" distR="114935" simplePos="0" locked="0" layoutInCell="0" allowOverlap="1" relativeHeight="7">
                <wp:simplePos x="0" y="0"/>
                <wp:positionH relativeFrom="column">
                  <wp:posOffset>3091180</wp:posOffset>
                </wp:positionH>
                <wp:positionV relativeFrom="paragraph">
                  <wp:posOffset>10795</wp:posOffset>
                </wp:positionV>
                <wp:extent cx="2361565" cy="1304290"/>
                <wp:effectExtent l="0" t="0" r="0" b="0"/>
                <wp:wrapTight wrapText="bothSides">
                  <wp:wrapPolygon edited="0">
                    <wp:start x="0" y="0"/>
                    <wp:lineTo x="21600" y="0"/>
                    <wp:lineTo x="21600" y="21600"/>
                    <wp:lineTo x="0" y="21600"/>
                    <wp:lineTo x="0" y="0"/>
                  </wp:wrapPolygon>
                </wp:wrapTight>
                <wp:docPr id="3" name="Frame3"/>
                <a:graphic xmlns:a="http://schemas.openxmlformats.org/drawingml/2006/main">
                  <a:graphicData uri="http://schemas.microsoft.com/office/word/2010/wordprocessingShape">
                    <wps:wsp>
                      <wps:cNvSpPr txBox="1"/>
                      <wps:spPr>
                        <a:xfrm>
                          <a:off x="0" y="0"/>
                          <a:ext cx="2361565" cy="130429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 xml:space="preserve">At first strategy was top down and now it's bottom up.  In the early days I was trying to make things happen, today I try to keep things from happening.  Jeff Skilling, President and COO, Enron Corporation </w:t>
                            </w:r>
                          </w:p>
                        </w:txbxContent>
                      </wps:txbx>
                      <wps:bodyPr anchor="t" lIns="91440" tIns="45720" rIns="91440" bIns="45720">
                        <a:noAutofit/>
                      </wps:bodyPr>
                    </wps:wsp>
                  </a:graphicData>
                </a:graphic>
              </wp:anchor>
            </w:drawing>
          </mc:Choice>
          <mc:Fallback>
            <w:pict>
              <v:rect fillcolor="#FFFFFF" strokecolor="#000000" strokeweight="0pt" style="position:absolute;rotation:-0;width:185.95pt;height:102.7pt;mso-wrap-distance-left:9.05pt;mso-wrap-distance-right:9.05pt;mso-wrap-distance-top:0pt;mso-wrap-distance-bottom:0pt;margin-top:0.85pt;mso-position-vertical-relative:text;margin-left:243.4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 xml:space="preserve">At first strategy was top down and now it's bottom up.  In the early days I was trying to make things happen, today I try to keep things from happening.  Jeff Skilling, President and COO, Enron Corporation </w:t>
                      </w:r>
                    </w:p>
                  </w:txbxContent>
                </v:textbox>
                <w10:wrap type="square"/>
              </v:rect>
            </w:pict>
          </mc:Fallback>
        </mc:AlternateContent>
      </w:r>
    </w:p>
    <w:p>
      <w:pPr>
        <w:pStyle w:val="Heading2"/>
        <w:rPr/>
      </w:pPr>
      <w:r>
        <w:rPr/>
        <w:t xml:space="preserve">Personnel policies </w:t>
      </w:r>
      <w:r>
        <mc:AlternateContent>
          <mc:Choice Requires="wps">
            <w:drawing>
              <wp:anchor behindDoc="0" distT="0" distB="0" distL="114935" distR="114935" simplePos="0" locked="0" layoutInCell="1" allowOverlap="1" relativeHeight="8">
                <wp:simplePos x="0" y="0"/>
                <wp:positionH relativeFrom="column">
                  <wp:posOffset>2957830</wp:posOffset>
                </wp:positionH>
                <wp:positionV relativeFrom="paragraph">
                  <wp:posOffset>-8255</wp:posOffset>
                </wp:positionV>
                <wp:extent cx="2504440" cy="618490"/>
                <wp:effectExtent l="0" t="0" r="0" b="0"/>
                <wp:wrapNone/>
                <wp:docPr id="4" name="Frame4"/>
                <a:graphic xmlns:a="http://schemas.openxmlformats.org/drawingml/2006/main">
                  <a:graphicData uri="http://schemas.microsoft.com/office/word/2010/wordprocessingShape">
                    <wps:wsp>
                      <wps:cNvSpPr txBox="1"/>
                      <wps:spPr>
                        <a:xfrm>
                          <a:off x="0" y="0"/>
                          <a:ext cx="2504440" cy="61849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7.2pt;height:48.7pt;mso-wrap-distance-left:9.05pt;mso-wrap-distance-right:9.05pt;mso-wrap-distance-top:0pt;mso-wrap-distance-bottom:0pt;margin-top:-0.65pt;mso-position-vertical-relative:text;margin-left:232.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v:textbox>
                <w10:wrap type="none"/>
              </v:rect>
            </w:pict>
          </mc:Fallback>
        </mc:AlternateContent>
      </w:r>
    </w:p>
    <w:p>
      <w:pPr>
        <w:pStyle w:val="Normal"/>
        <w:rPr/>
      </w:pPr>
      <w:r>
        <w:rPr/>
      </w:r>
    </w:p>
    <w:p>
      <w:pPr>
        <w:pStyle w:val="Normal"/>
        <w:ind w:start="180" w:end="0"/>
        <w:rPr/>
      </w:pPr>
      <w:r>
        <w:rPr/>
      </w:r>
    </w:p>
    <w:p>
      <w:pPr>
        <w:pStyle w:val="Normal"/>
        <w:ind w:start="180" w:end="0"/>
        <w:rPr/>
      </w:pPr>
      <w:r>
        <w:rPr/>
      </w:r>
    </w:p>
    <w:p>
      <w:pPr>
        <w:pStyle w:val="Normal"/>
        <w:ind w:start="180" w:end="0"/>
        <w:rPr/>
      </w:pPr>
      <w:r>
        <w:rPr/>
      </w:r>
    </w:p>
    <w:p>
      <w:pPr>
        <w:pStyle w:val="Normal"/>
        <w:ind w:start="180" w:end="0"/>
        <w:rPr/>
      </w:pPr>
      <w:r>
        <w:rPr/>
      </w:r>
    </w:p>
    <w:p>
      <w:pPr>
        <w:pStyle w:val="Normal"/>
        <w:ind w:start="180" w:end="0"/>
        <w:rPr/>
      </w:pPr>
      <w:r>
        <w:rPr/>
      </w:r>
    </w:p>
    <w:p>
      <w:pPr>
        <w:pStyle w:val="Heading2"/>
        <w:rPr/>
      </w:pPr>
      <w:r>
        <w:rPr/>
        <w:t>Corporate Risk Management</w:t>
      </w:r>
      <w:r>
        <w:rPr>
          <w:rStyle w:val="FootnoteCharacters"/>
          <w:rStyle w:val="FootnoteReference"/>
        </w:rPr>
        <w:footnoteReference w:id="6"/>
      </w:r>
      <w:r>
        <mc:AlternateContent>
          <mc:Choice Requires="wps">
            <w:drawing>
              <wp:anchor behindDoc="1" distT="0" distB="0" distL="114935" distR="114935" simplePos="0" locked="0" layoutInCell="0" allowOverlap="1" relativeHeight="5">
                <wp:simplePos x="0" y="0"/>
                <wp:positionH relativeFrom="column">
                  <wp:posOffset>2995930</wp:posOffset>
                </wp:positionH>
                <wp:positionV relativeFrom="paragraph">
                  <wp:posOffset>27940</wp:posOffset>
                </wp:positionV>
                <wp:extent cx="2447290" cy="1485265"/>
                <wp:effectExtent l="0" t="0" r="0" b="0"/>
                <wp:wrapTight wrapText="bothSides">
                  <wp:wrapPolygon edited="0">
                    <wp:start x="0" y="0"/>
                    <wp:lineTo x="21600" y="0"/>
                    <wp:lineTo x="21600" y="21600"/>
                    <wp:lineTo x="0" y="21600"/>
                    <wp:lineTo x="0" y="0"/>
                  </wp:wrapPolygon>
                </wp:wrapTight>
                <wp:docPr id="5" name="Frame5"/>
                <a:graphic xmlns:a="http://schemas.openxmlformats.org/drawingml/2006/main">
                  <a:graphicData uri="http://schemas.microsoft.com/office/word/2010/wordprocessingShape">
                    <wps:wsp>
                      <wps:cNvSpPr txBox="1"/>
                      <wps:spPr>
                        <a:xfrm>
                          <a:off x="0" y="0"/>
                          <a:ext cx="2447290" cy="1485265"/>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2.7pt;height:116.95pt;mso-wrap-distance-left:9.05pt;mso-wrap-distance-right:9.05pt;mso-wrap-distance-top:0pt;mso-wrap-distance-bottom:0pt;margin-top:2.2pt;mso-position-vertical-relative:text;margin-left:235.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v:textbox>
                <w10:wrap type="square"/>
              </v:rect>
            </w:pict>
          </mc:Fallback>
        </mc:AlternateContent>
      </w:r>
    </w:p>
    <w:p>
      <w:pPr>
        <w:pStyle w:val="Normal"/>
        <w:rPr/>
      </w:pPr>
      <w:r>
        <w:rPr/>
        <w:t xml:space="preserve">To manage its risk exposure from the purchase and sale of natural gas, no commitment can be made to either buy or sell gas without the explicit guidance of Enron Risk Management Services (ERMS).  ERMS looks at the risks inherent in each proposed transaction in terms of five different types of risk exposures that were each managed very carefully to minimize Enron’s exposure. Each type of risk exposure is managed using “books” recording the firm’s commitments.  The </w:t>
      </w:r>
      <w:r>
        <w:rPr>
          <w:i/>
          <w:iCs/>
        </w:rPr>
        <w:t>gas price book</w:t>
      </w:r>
      <w:r>
        <w:rPr/>
        <w:t xml:space="preserve"> is used to manage the risks incurred when Enron contracts to sell gas at fixed prices.  This book contains the firm’s database of commitments that call for Enron to exchange fixed prices for a particular indexed price.  The basis book is used to manage the risk arising out of differences in gas prices at Henry Hub in central Louisiana versus any other location such as the Permian Basin in Texas.  The </w:t>
      </w:r>
      <w:r>
        <w:rPr>
          <w:i/>
          <w:iCs/>
        </w:rPr>
        <w:t>index book</w:t>
      </w:r>
      <w:r>
        <w:rPr/>
        <w:t xml:space="preserve"> is used to manage the risk Enron will not have enough gas to meet its commitments for each delivery location.  This book contains the contracts that Enron has entered into for buying and selling gas at each of the index locations for each day of the year.  Specifically, the index book contains the quantities of gas bought and sold for any given date and location.  This, in turn, indicates the quantities needed to be bought or sold in order to balance the book.  The transport book contains a database of pipeline capacities available for transporting gas on any given day or month of the contracts.  This book provides the basis for managing the physical risk associated with selling gas whose delivery date is firm (i.e., firm refers to firm delivery).   Finally, ERMS keeps an </w:t>
      </w:r>
      <w:r>
        <w:rPr>
          <w:i/>
          <w:iCs/>
        </w:rPr>
        <w:t>omircron book</w:t>
      </w:r>
      <w:r>
        <w:rPr/>
        <w:t xml:space="preserve"> that lists any optional quantity commitments that Enron has made.  For example, a local gas distributor might contract for a fixed quantity of gas at a fixed price plus up 5% more for a floating price.  </w:t>
      </w:r>
    </w:p>
    <w:p>
      <w:pPr>
        <w:pStyle w:val="Normal"/>
        <w:rPr/>
      </w:pPr>
      <w:r>
        <w:rPr/>
        <w:t xml:space="preserve">In addition to the price and quantity risks of gas transactions that Enron manages using the five books described in the previous paragraph, the company is also exposed to the risk that its counter parties might default.  Enron manages this risk in a variety of ways.  For example counter parties generally are of investment grade credit risk.  Should they not be of investment grade then Enron might require posting of a letter of credit, or other type of collateral prior to the initiation of the transaction.  In addition, the firm’s accounting system maintained loss reserves in recognition of the potential exposure faced by the firm.  </w:t>
      </w:r>
    </w:p>
    <w:p>
      <w:pPr>
        <w:pStyle w:val="Heading3"/>
        <w:ind w:hanging="0" w:start="0"/>
        <w:rPr/>
      </w:pPr>
      <w:r>
        <w:rPr/>
        <w:t>Mark-to-Market Accounting</w:t>
      </w:r>
    </w:p>
    <w:p>
      <w:pPr>
        <w:pStyle w:val="Normal"/>
        <w:rPr/>
      </w:pPr>
      <w:r>
        <w:rPr/>
        <w:t xml:space="preserve">Enron “books” a portion of the net present value of each hedged transaction at the time the contracts are initiated.  This mark-to-market accounting practice is used by banks but few industrial concerns.  In very simple terms, here is how it works.  Enron contracts to deliver gas at $2.00/MMBtu for which it was paying $1.80/MMBtu.  The present value of the $0.20/MMBtu difference (net of transportation costs and reserves set aside to protect against changes in the market value of Enron’s position) would be recognized as revenue in the year in which the contract is signed.  The remainder of the margin (the loss reserve) less physical delivery costs is recorded over the life of the contract if nothing changes.  Correspondingly these commitments to buy and sell gas give rise to assets and liabilities.  Note that where the portfolio of assets and obligations is balanced with identical purchase and sale volume commitments, changes in the price of gas do not have an impact on the income statement.  </w:t>
      </w:r>
    </w:p>
    <w:p>
      <w:pPr>
        <w:pStyle w:val="Normal"/>
        <w:rPr/>
      </w:pPr>
      <w:r>
        <w:rPr/>
        <w:t>The importance of mark-to-market accounting is to make the day-to-day fluctuations in the value of the firm’s operations immediately transparent.  Under a traditional historical-cost accounting system changes in the market values of the firm’s assets and liabilities is made apparent only when a purchase or sale occurs.  Mistakes and poor fortune can be hidden from view for extended periods of time simply through inaction on the part of the firm’s management.  Such is not the case, however, with mark-to-market accounting.</w:t>
      </w:r>
    </w:p>
    <w:p>
      <w:pPr>
        <w:pStyle w:val="Heading3"/>
        <w:ind w:hanging="0" w:start="0"/>
        <w:rPr/>
      </w:pPr>
      <w:r>
        <w:rPr/>
        <w:t>Value at risk analysis</w:t>
      </w:r>
    </w:p>
    <w:p>
      <w:pPr>
        <w:pStyle w:val="Normal"/>
        <w:rPr/>
      </w:pPr>
      <w:r>
        <w:rPr/>
      </w:r>
    </w:p>
    <w:p>
      <w:pPr>
        <w:pStyle w:val="Heading2"/>
        <w:rPr/>
      </w:pPr>
      <w:r>
        <w:rPr/>
        <w:t>Other features of the Enron business model</w:t>
      </w:r>
    </w:p>
    <w:p>
      <w:pPr>
        <w:pStyle w:val="Heading3"/>
        <w:ind w:hanging="0" w:start="0"/>
        <w:rPr/>
      </w:pPr>
      <w:r>
        <w:rPr/>
        <w:t>Combining Physical Assets and Financial Instruments</w:t>
      </w:r>
    </w:p>
    <w:p>
      <w:pPr>
        <w:pStyle w:val="Normal"/>
        <w:rPr/>
      </w:pPr>
      <w:r>
        <w:rPr/>
      </w:r>
    </w:p>
    <w:p>
      <w:pPr>
        <w:pStyle w:val="Heading3"/>
        <w:ind w:hanging="0" w:start="0"/>
        <w:rPr/>
      </w:pPr>
      <w:r>
        <w:rPr/>
        <w:t>Capitalizing on Opportunities in Deregulating Markets</w:t>
      </w:r>
    </w:p>
    <w:p>
      <w:pPr>
        <w:pStyle w:val="Normal"/>
        <w:rPr/>
      </w:pPr>
      <w:r>
        <w:rPr/>
        <w:t>Beginning with the 1990s, Enron's stated philosophy was directed toward capitalizing on opportunities arising out of newly deregulated markets, "get in early, push to open markets, position ourselves to compete, and compete hard when the opening comes."  Enron has successfully applied this model to a number of markets including oil, gas, and wholesale electric power; but has been less successful in consumer electric power and water.  An example of this strategy is the recent formation of Enron Communications, Inc. (a wholly owned subsidiary of Enron Corporation and a leader in the delivery of high-bandwidth application services).  In a company press release President and COO Jeff Skilling" described the launch of the new business as follows:</w:t>
      </w:r>
    </w:p>
    <w:p>
      <w:pPr>
        <w:pStyle w:val="Normal"/>
        <w:rPr>
          <w:sz w:val="20"/>
        </w:rPr>
      </w:pPr>
      <w:r>
        <w:rPr>
          <w:sz w:val="20"/>
        </w:rPr>
        <w:t>"This is 'Day One' of a potentially enormous market.  Most companies that need bandwidth today are only able to secure inflexible, multi-year deals for pre-set amounts of capacity – just like oil contracts in the 1970s, natural gas contracts prior to 1990 and electric power contracts prior to 1994.  As was the case in those industries, the market structure for bandwidth is currently inefficient and expensive.  We are demonstrating that bandwidth can be traded under flexible market-based contract structures with the assurance that quality standards are in place and monitored real-time by the buyer and seller."  (Enron press release—December 2, 1999)</w:t>
      </w:r>
    </w:p>
    <w:p>
      <w:pPr>
        <w:pStyle w:val="Heading3"/>
        <w:ind w:hanging="0" w:start="0"/>
        <w:rPr/>
      </w:pPr>
      <w:r>
        <w:rPr/>
        <w:t>Focusing on Asset Optionality</w:t>
      </w:r>
    </w:p>
    <w:p>
      <w:pPr>
        <w:pStyle w:val="Normal"/>
        <w:rPr/>
      </w:pPr>
      <w:r>
        <w:rPr/>
        <w:t xml:space="preserve">Enron's business model differs in a very critical way from other energy companies.  Traditionally energy companies are characterized by heavy investments in fixed assets.  Enron instead focuses on leveraging its investment in human capital.  One way in which it has done this is in the strategic acquisition of assets that offer significant optionality.  For example, the typical electrical utility builds and operates large electric power plants that require huge capital investments and that earn modest returns.  Enron recognized the value of owning smaller "peak-load plants" that could be switched on and off as the price of power fluctuated.  These plants require much smaller initial investments but are much less efficient to operate than their larger counterparts.  For this type of plant the increased volatility in power prices that accompanied deregulation actually adds value.  </w:t>
      </w:r>
    </w:p>
    <w:p>
      <w:pPr>
        <w:pStyle w:val="Heading3"/>
        <w:ind w:hanging="0" w:start="0"/>
        <w:rPr/>
      </w:pPr>
      <w:r>
        <w:rPr/>
        <w:t>Organizing Around a Network Strategy</w:t>
      </w:r>
    </w:p>
    <w:p>
      <w:pPr>
        <w:pStyle w:val="Normal"/>
        <w:rPr/>
      </w:pPr>
      <w:r>
        <w:rPr/>
      </w:r>
    </w:p>
    <w:p>
      <w:pPr>
        <w:pStyle w:val="Heading1"/>
        <w:rPr/>
      </w:pPr>
      <w:r>
        <w:rPr/>
        <w:t>Lessons Learned</w:t>
      </w:r>
      <w:r>
        <mc:AlternateContent>
          <mc:Choice Requires="wps">
            <w:drawing>
              <wp:anchor behindDoc="1" distT="0" distB="0" distL="114935" distR="114935" simplePos="0" locked="0" layoutInCell="0" allowOverlap="1" relativeHeight="4">
                <wp:simplePos x="0" y="0"/>
                <wp:positionH relativeFrom="column">
                  <wp:posOffset>3186430</wp:posOffset>
                </wp:positionH>
                <wp:positionV relativeFrom="paragraph">
                  <wp:posOffset>212090</wp:posOffset>
                </wp:positionV>
                <wp:extent cx="2266315" cy="1237615"/>
                <wp:effectExtent l="0" t="0" r="0" b="0"/>
                <wp:wrapTight wrapText="bothSides">
                  <wp:wrapPolygon edited="0">
                    <wp:start x="0" y="0"/>
                    <wp:lineTo x="21600" y="0"/>
                    <wp:lineTo x="21600" y="21600"/>
                    <wp:lineTo x="0" y="21600"/>
                    <wp:lineTo x="0" y="0"/>
                  </wp:wrapPolygon>
                </wp:wrapTight>
                <wp:docPr id="6" name="Frame6"/>
                <a:graphic xmlns:a="http://schemas.openxmlformats.org/drawingml/2006/main">
                  <a:graphicData uri="http://schemas.microsoft.com/office/word/2010/wordprocessingShape">
                    <wps:wsp>
                      <wps:cNvSpPr txBox="1"/>
                      <wps:spPr>
                        <a:xfrm>
                          <a:off x="0" y="0"/>
                          <a:ext cx="2266315" cy="1237615"/>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8.45pt;height:97.45pt;mso-wrap-distance-left:9.05pt;mso-wrap-distance-right:9.05pt;mso-wrap-distance-top:0pt;mso-wrap-distance-bottom:0pt;margin-top:16.7pt;mso-position-vertical-relative:text;margin-left:250.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v:textbox>
                <w10:wrap type="square"/>
              </v:rect>
            </w:pict>
          </mc:Fallback>
        </mc:AlternateContent>
      </w:r>
    </w:p>
    <w:p>
      <w:pPr>
        <w:pStyle w:val="Normal"/>
        <w:rPr/>
      </w:pPr>
      <w:r>
        <w:rPr/>
        <w:t>What can be learned from the Enron experience that might be applied elsewhere?  Jeff Skilling believes that there is indeed much that can be learned from the Enron transformation and, given the right circumstances; others might also be able to follow their example.  Specifically, Skilling advises the following:</w:t>
      </w:r>
    </w:p>
    <w:p>
      <w:pPr>
        <w:pStyle w:val="Normal"/>
        <w:numPr>
          <w:ilvl w:val="0"/>
          <w:numId w:val="2"/>
        </w:numPr>
        <w:rPr/>
      </w:pPr>
      <w:r>
        <w:rPr/>
        <w:t>First, there must be a real sense of urgency to stimulate genuine change in the organization.</w:t>
      </w:r>
    </w:p>
    <w:p>
      <w:pPr>
        <w:pStyle w:val="Normal"/>
        <w:numPr>
          <w:ilvl w:val="0"/>
          <w:numId w:val="2"/>
        </w:numPr>
        <w:rPr/>
      </w:pPr>
      <w:r>
        <w:rPr/>
        <w:t>There must be an absolute commitment to change such that there is no going back.  Many firms have attempted radical change only to turn back when the difficulty of the transition became obvious.</w:t>
      </w:r>
    </w:p>
    <w:p>
      <w:pPr>
        <w:pStyle w:val="Normal"/>
        <w:numPr>
          <w:ilvl w:val="0"/>
          <w:numId w:val="2"/>
        </w:numPr>
        <w:rPr/>
      </w:pPr>
      <w:r>
        <w:rPr/>
        <w:t>You must create an organizational architecture that unleashes the talent in the organization.  This means that you must fundamentally change the reporting and compensation system so as to allow people to take advantage of their own ideas.</w:t>
      </w:r>
    </w:p>
    <w:p>
      <w:pPr>
        <w:pStyle w:val="Normal"/>
        <w:numPr>
          <w:ilvl w:val="0"/>
          <w:numId w:val="2"/>
        </w:numPr>
        <w:rPr/>
      </w:pPr>
      <w:r>
        <w:rPr/>
        <w:t>Recruiting new talent is absolutely crucial.  This means individuals who are both intelligent and flexible.</w:t>
      </w:r>
    </w:p>
    <w:p>
      <w:pPr>
        <w:pStyle w:val="Normal"/>
        <w:rPr/>
      </w:pPr>
      <w:r>
        <w:rPr/>
      </w:r>
      <w:r>
        <w:br w:type="page"/>
      </w:r>
    </w:p>
    <w:p>
      <w:pPr>
        <w:pStyle w:val="Heading1"/>
        <w:rPr/>
      </w:pPr>
      <w:r>
        <w:rPr/>
        <w:t>References</w:t>
      </w:r>
    </w:p>
    <w:p>
      <w:pPr>
        <w:pStyle w:val="Heading2"/>
        <w:rPr/>
      </w:pPr>
      <w:r>
        <w:rPr/>
        <w:t>HBS Cases—Enron Corporation</w:t>
      </w:r>
    </w:p>
    <w:p>
      <w:pPr>
        <w:pStyle w:val="Normal"/>
        <w:rPr/>
      </w:pPr>
      <w:r>
        <w:rPr/>
        <w:t>Sanjay Bhatnagar and Peter Tufano, 1995, Enron Gas Services, 9-294-076, Harvard Business School Publishing, Boston, MA.</w:t>
      </w:r>
    </w:p>
    <w:p>
      <w:pPr>
        <w:pStyle w:val="Normal"/>
        <w:rPr/>
      </w:pPr>
      <w:r>
        <w:rPr/>
        <w:t>Stephen Lynagh and Sanjiv R. Das, 1997, Enron Corp.—Credit sensitive notes, 9-297-099, Harvard Business School Publishing, Boston, MA.</w:t>
      </w:r>
    </w:p>
    <w:p>
      <w:pPr>
        <w:pStyle w:val="Normal"/>
        <w:rPr/>
      </w:pPr>
      <w:r>
        <w:rPr/>
        <w:t>V. Kasturi Rangan and Krishna G. Palepu, 1998, Enron development corporation: The Dibhol power project in Maharashtra, India (A), 9-596-099, Harvard Business School Publishing, Boston, MA.</w:t>
      </w:r>
    </w:p>
    <w:p>
      <w:pPr>
        <w:pStyle w:val="Normal"/>
        <w:rPr/>
      </w:pPr>
      <w:r>
        <w:rPr/>
        <w:t>V. Kasturi Rangan and Krishna G. Palepu, 1996, Enron development corporation: The Dibhol power project in Maharashtra, India (B), 9-596-100, Harvard Business School Publishing, Boston, MA.</w:t>
      </w:r>
    </w:p>
    <w:p>
      <w:pPr>
        <w:pStyle w:val="Heading2"/>
        <w:rPr/>
      </w:pPr>
      <w:r>
        <w:rPr/>
        <w:t>Risk Management Articles</w:t>
      </w:r>
    </w:p>
    <w:p>
      <w:pPr>
        <w:pStyle w:val="Normal"/>
        <w:rPr/>
      </w:pPr>
      <w:r>
        <w:rPr/>
        <w:t>Hendrik Bessembinder and Michael L. Lemmon, 1999, Pricing and gains from trade in competitive electric power markets, Arizona State University working paper (February).</w:t>
      </w:r>
    </w:p>
    <w:p>
      <w:pPr>
        <w:pStyle w:val="Normal"/>
        <w:rPr/>
      </w:pPr>
      <w:r>
        <w:rPr/>
        <w:t xml:space="preserve">Karan Bhanot, 2000, Behavior of power prices—Implications for the valuation and hedging of financial contracts, </w:t>
      </w:r>
      <w:r>
        <w:rPr>
          <w:u w:val="single"/>
        </w:rPr>
        <w:t>Journal of Risk</w:t>
      </w:r>
      <w:r>
        <w:rPr/>
        <w:t xml:space="preserve"> (Spring).</w:t>
      </w:r>
    </w:p>
    <w:p>
      <w:pPr>
        <w:pStyle w:val="Normal"/>
        <w:rPr/>
      </w:pPr>
      <w:r>
        <w:rPr/>
        <w:t>George Chacko, Peter Tufano, and Geoffrey Verter, 2000, Cephalon, Inc.—Taking risk management theory seriously, NBER working paper #7748 (</w:t>
      </w:r>
      <w:hyperlink r:id="rId2">
        <w:r>
          <w:rPr>
            <w:rStyle w:val="Hyperlink"/>
          </w:rPr>
          <w:t>http://www.nber.org/papers/w7748</w:t>
        </w:r>
      </w:hyperlink>
      <w:r>
        <w:rPr/>
        <w:t>).</w:t>
      </w:r>
    </w:p>
    <w:p>
      <w:pPr>
        <w:pStyle w:val="Normal"/>
        <w:rPr/>
      </w:pPr>
      <w:r>
        <w:rPr/>
        <w:t>Christopher C. Geczy, Bernadette A. Minton, and Catherine Schrand, 1999, Choices among alternative risk management strategies:  Evidence from the natural gas industry, University of Pennsylvania working paper (November).</w:t>
      </w:r>
    </w:p>
    <w:p>
      <w:pPr>
        <w:pStyle w:val="Normal"/>
        <w:rPr/>
      </w:pPr>
      <w:r>
        <w:rPr/>
        <w:t xml:space="preserve">Henry T. C. Hu, 1996, Behind the corporate hedge:  Information and the limits of "shareholder wealth maximization", </w:t>
      </w:r>
      <w:r>
        <w:rPr>
          <w:u w:val="single"/>
        </w:rPr>
        <w:t>Journal of Applied Corporate Finance</w:t>
      </w:r>
      <w:r>
        <w:rPr/>
        <w:t xml:space="preserve"> (Fall), 39-51.</w:t>
      </w:r>
    </w:p>
    <w:p>
      <w:pPr>
        <w:pStyle w:val="Normal"/>
        <w:rPr/>
      </w:pPr>
      <w:r>
        <w:rPr/>
        <w:t>Alberto Moel and Peter Tufano, 2000, When are real options exercised?  An empirical study of mine closings, Harvard Business School working paper, (June 21).</w:t>
      </w:r>
    </w:p>
    <w:p>
      <w:pPr>
        <w:pStyle w:val="Normal"/>
        <w:rPr/>
      </w:pPr>
      <w:r>
        <w:rPr/>
        <w:t>Shivaram Rajgopal and Morton Pincus, 1999, The interaction of accounting policy choice and hedging:  Evidence from oil and gas firms, University of Washington working paper (July).</w:t>
      </w:r>
    </w:p>
    <w:p>
      <w:pPr>
        <w:pStyle w:val="Normal"/>
        <w:rPr/>
      </w:pPr>
      <w:r>
        <w:rPr/>
        <w:t>Shivaram Rajgopal and Mohan Venkatachalam, 1999, Are earnings sensitivity measures risk-relevant?  The case of oil price risk for the petroleum refining industry, University of Washington working paper (August).</w:t>
      </w:r>
    </w:p>
    <w:p>
      <w:pPr>
        <w:pStyle w:val="Normal"/>
        <w:rPr/>
      </w:pPr>
      <w:r>
        <w:rPr/>
        <w:t xml:space="preserve">Rene M. Stulz, 1996, Rethinking risk management, </w:t>
      </w:r>
      <w:r>
        <w:rPr>
          <w:u w:val="single"/>
        </w:rPr>
        <w:t>Journal of Applied Corporate Finance</w:t>
      </w:r>
      <w:r>
        <w:rPr/>
        <w:t xml:space="preserve"> (Fall), 8-24.</w:t>
      </w:r>
    </w:p>
    <w:p>
      <w:pPr>
        <w:pStyle w:val="Normal"/>
        <w:rPr/>
      </w:pPr>
      <w:r>
        <w:rPr/>
        <w:t xml:space="preserve">Karen Hopper Wruck, 1994, Financial policy, internal control, and performance:  Sealed Air Corporation’s leveraged special dividend,” </w:t>
      </w:r>
      <w:r>
        <w:rPr>
          <w:i/>
        </w:rPr>
        <w:t>Journal of Financial Economics</w:t>
      </w:r>
      <w:r>
        <w:rPr/>
        <w:t>, vol. 36, 157-192.</w:t>
      </w:r>
    </w:p>
    <w:p>
      <w:pPr>
        <w:pStyle w:val="Heading2"/>
        <w:rPr/>
      </w:pPr>
      <w:r>
        <w:rPr/>
        <w:t>Popular Press Stories on Enron Business Activities</w:t>
      </w:r>
    </w:p>
    <w:p>
      <w:pPr>
        <w:pStyle w:val="Normal"/>
        <w:rPr/>
      </w:pPr>
      <w:r>
        <w:rPr/>
        <w:t xml:space="preserve">Peter Coy, 1999, Exploiting uncertainty:  The "real-options" revolution in decision-making, </w:t>
      </w:r>
      <w:r>
        <w:rPr>
          <w:u w:val="single"/>
        </w:rPr>
        <w:t>BusinessWeek</w:t>
      </w:r>
      <w:r>
        <w:rPr/>
        <w:t xml:space="preserve"> (June 7).</w:t>
      </w:r>
    </w:p>
    <w:p>
      <w:pPr>
        <w:pStyle w:val="Normal"/>
        <w:rPr/>
      </w:pPr>
      <w:r>
        <w:rPr/>
      </w:r>
      <w:r>
        <w:br w:type="page"/>
      </w:r>
    </w:p>
    <w:p>
      <w:pPr>
        <w:pStyle w:val="Heading1"/>
        <w:rPr/>
      </w:pPr>
      <w:r>
        <w:rPr/>
        <w:t>Unused material</w:t>
      </w:r>
    </w:p>
    <w:p>
      <w:pPr>
        <w:pStyle w:val="Normal"/>
        <w:rPr>
          <w:rFonts w:ascii="Arial" w:hAnsi="Arial" w:cs="Arial"/>
          <w:sz w:val="20"/>
          <w:szCs w:val="20"/>
        </w:rPr>
      </w:pPr>
      <w:r>
        <w:rPr>
          <w:rFonts w:cs="Arial" w:ascii="Arial" w:hAnsi="Arial"/>
          <w:sz w:val="20"/>
          <w:szCs w:val="20"/>
        </w:rPr>
      </w:r>
    </w:p>
    <w:tbl>
      <w:tblPr>
        <w:tblW w:w="4500" w:type="pct"/>
        <w:jc w:val="start"/>
        <w:tblInd w:w="-15" w:type="dxa"/>
        <w:tblLayout w:type="fixed"/>
        <w:tblCellMar>
          <w:top w:w="0" w:type="dxa"/>
          <w:start w:w="0" w:type="dxa"/>
          <w:bottom w:w="0" w:type="dxa"/>
          <w:end w:w="0" w:type="dxa"/>
        </w:tblCellMar>
      </w:tblPr>
      <w:tblGrid>
        <w:gridCol w:w="7776"/>
      </w:tblGrid>
      <w:tr>
        <w:trPr/>
        <w:tc>
          <w:tcPr>
            <w:tcW w:w="7776" w:type="dxa"/>
            <w:tcBorders/>
            <w:vAlign w:val="center"/>
          </w:tcPr>
          <w:tbl>
            <w:tblPr>
              <w:tblW w:w="5000" w:type="pct"/>
              <w:jc w:val="start"/>
              <w:tblInd w:w="8" w:type="dxa"/>
              <w:tblLayout w:type="fixed"/>
              <w:tblCellMar>
                <w:top w:w="0" w:type="dxa"/>
                <w:start w:w="0" w:type="dxa"/>
                <w:bottom w:w="0" w:type="dxa"/>
                <w:end w:w="0" w:type="dxa"/>
              </w:tblCellMar>
            </w:tblPr>
            <w:tblGrid>
              <w:gridCol w:w="1131"/>
              <w:gridCol w:w="6645"/>
            </w:tblGrid>
            <w:tr>
              <w:trPr/>
              <w:tc>
                <w:tcPr>
                  <w:tcW w:w="1131" w:type="dxa"/>
                  <w:tcBorders/>
                </w:tcPr>
                <w:p>
                  <w:pPr>
                    <w:pStyle w:val="Normal"/>
                    <w:spacing w:before="120" w:after="120"/>
                    <w:rPr>
                      <w:color w:val="000000"/>
                    </w:rPr>
                  </w:pPr>
                  <w:r>
                    <w:rPr>
                      <w:rFonts w:cs="Arial" w:ascii="Arial" w:hAnsi="Arial"/>
                      <w:b/>
                      <w:bCs w:val="false"/>
                      <w:color w:val="000080"/>
                      <w:sz w:val="20"/>
                      <w:szCs w:val="20"/>
                    </w:rPr>
                    <w:t>Title:</w:t>
                  </w:r>
                  <w:r>
                    <w:rPr/>
                    <w:t>  </w:t>
                  </w:r>
                </w:p>
              </w:tc>
              <w:tc>
                <w:tcPr>
                  <w:tcW w:w="6645" w:type="dxa"/>
                  <w:tcBorders/>
                  <w:vAlign w:val="center"/>
                </w:tcPr>
                <w:p>
                  <w:pPr>
                    <w:pStyle w:val="Normal"/>
                    <w:widowControl/>
                    <w:bidi w:val="0"/>
                    <w:spacing w:before="120" w:after="120"/>
                    <w:jc w:val="both"/>
                    <w:rPr>
                      <w:color w:val="000000"/>
                    </w:rPr>
                  </w:pPr>
                  <w:r>
                    <w:rPr/>
                    <w:t>The World's Most Admired Companies</w:t>
                  </w:r>
                </w:p>
              </w:tc>
            </w:tr>
            <w:tr>
              <w:trPr/>
              <w:tc>
                <w:tcPr>
                  <w:tcW w:w="1131" w:type="dxa"/>
                  <w:tcBorders/>
                </w:tcPr>
                <w:p>
                  <w:pPr>
                    <w:pStyle w:val="Normal"/>
                    <w:widowControl/>
                    <w:bidi w:val="0"/>
                    <w:spacing w:before="120" w:after="120"/>
                    <w:jc w:val="both"/>
                    <w:rPr>
                      <w:color w:val="000000"/>
                    </w:rPr>
                  </w:pPr>
                  <w:r>
                    <w:rPr>
                      <w:rFonts w:cs="Arial" w:ascii="Arial" w:hAnsi="Arial"/>
                      <w:b/>
                      <w:bCs w:val="false"/>
                      <w:color w:val="000080"/>
                      <w:sz w:val="20"/>
                      <w:szCs w:val="20"/>
                    </w:rPr>
                    <w:t>Summary:</w:t>
                  </w:r>
                  <w:r>
                    <w:rPr/>
                    <w:t>  </w:t>
                  </w:r>
                </w:p>
              </w:tc>
              <w:tc>
                <w:tcPr>
                  <w:tcW w:w="6645" w:type="dxa"/>
                  <w:tcBorders/>
                  <w:vAlign w:val="center"/>
                </w:tcPr>
                <w:p>
                  <w:pPr>
                    <w:pStyle w:val="Normal"/>
                    <w:widowControl/>
                    <w:bidi w:val="0"/>
                    <w:spacing w:before="120" w:after="120"/>
                    <w:jc w:val="both"/>
                    <w:rPr>
                      <w:color w:val="000000"/>
                    </w:rPr>
                  </w:pPr>
                  <w:r>
                    <w:rPr/>
                    <w:t>  </w:t>
                  </w:r>
                  <w:r>
                    <w:rPr/>
                    <w:t>How do you make the Most Admired list? Innovate, innovate, innovate. The winners on this year's list, compiled by the Hay Group consultancy, tell how they do it.</w:t>
                  </w:r>
                </w:p>
              </w:tc>
            </w:tr>
          </w:tbl>
          <w:p>
            <w:pPr>
              <w:pStyle w:val="Normal"/>
              <w:rPr>
                <w:color w:val="000000"/>
              </w:rPr>
            </w:pPr>
            <w:r>
              <w:rPr>
                <w:color w:val="000000"/>
              </w:rPr>
              <mc:AlternateContent>
                <mc:Choice Requires="wps">
                  <w:drawing>
                    <wp:inline distT="0" distB="0" distL="0" distR="0">
                      <wp:extent cx="5486400" cy="9525"/>
                      <wp:effectExtent l="0" t="0" r="0" b="0"/>
                      <wp:docPr id="7" name=""/>
                      <a:graphic xmlns:a="http://schemas.openxmlformats.org/drawingml/2006/main">
                        <a:graphicData uri="http://schemas.microsoft.com/office/word/2010/wordprocessingShape">
                          <wps:wsp>
                            <wps:cNvSpPr/>
                            <wps:spPr>
                              <a:xfrm>
                                <a:off x="0" y="0"/>
                                <a:ext cx="548640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431.95pt;height:0.7pt;mso-wrap-style:none;v-text-anchor:middle;mso-position-vertical:top">
                      <v:fill o:detectmouseclick="t" type="solid" color2="#7f7f7f"/>
                      <v:stroke color="#3465a4" joinstyle="round" endcap="flat"/>
                      <w10:wrap type="square"/>
                    </v:rect>
                  </w:pict>
                </mc:Fallback>
              </mc:AlternateContent>
            </w:r>
          </w:p>
          <w:tbl>
            <w:tblPr>
              <w:tblW w:w="5000" w:type="pct"/>
              <w:jc w:val="start"/>
              <w:tblInd w:w="8" w:type="dxa"/>
              <w:tblLayout w:type="fixed"/>
              <w:tblCellMar>
                <w:top w:w="15" w:type="dxa"/>
                <w:start w:w="15" w:type="dxa"/>
                <w:bottom w:w="15" w:type="dxa"/>
                <w:end w:w="15" w:type="dxa"/>
              </w:tblCellMar>
            </w:tblPr>
            <w:tblGrid>
              <w:gridCol w:w="2092"/>
              <w:gridCol w:w="5684"/>
            </w:tblGrid>
            <w:tr>
              <w:trPr/>
              <w:tc>
                <w:tcPr>
                  <w:tcW w:w="2092" w:type="dxa"/>
                  <w:tcBorders/>
                </w:tcPr>
                <w:p>
                  <w:pPr>
                    <w:pStyle w:val="Normal"/>
                    <w:widowControl/>
                    <w:bidi w:val="0"/>
                    <w:spacing w:before="120" w:after="120"/>
                    <w:jc w:val="both"/>
                    <w:rPr>
                      <w:color w:val="000000"/>
                    </w:rPr>
                  </w:pPr>
                  <w:r>
                    <w:rPr>
                      <w:rFonts w:cs="Arial" w:ascii="Arial" w:hAnsi="Arial"/>
                      <w:b/>
                      <w:bCs w:val="false"/>
                      <w:color w:val="000080"/>
                      <w:sz w:val="20"/>
                      <w:szCs w:val="20"/>
                    </w:rPr>
                    <w:t>Source:</w:t>
                  </w:r>
                  <w:r>
                    <w:rPr/>
                    <w:t> </w:t>
                  </w:r>
                </w:p>
              </w:tc>
              <w:tc>
                <w:tcPr>
                  <w:tcW w:w="5684" w:type="dxa"/>
                  <w:tcBorders/>
                  <w:vAlign w:val="center"/>
                </w:tcPr>
                <w:p>
                  <w:pPr>
                    <w:pStyle w:val="Normal"/>
                    <w:spacing w:before="120" w:after="120"/>
                    <w:rPr>
                      <w:color w:val="000000"/>
                    </w:rPr>
                  </w:pPr>
                  <w:r>
                    <w:rPr>
                      <w:b/>
                      <w:bCs w:val="false"/>
                    </w:rPr>
                    <w:t>FORTUNE</w:t>
                  </w:r>
                </w:p>
              </w:tc>
            </w:tr>
            <w:tr>
              <w:trPr/>
              <w:tc>
                <w:tcPr>
                  <w:tcW w:w="2092" w:type="dxa"/>
                  <w:tcBorders/>
                </w:tcPr>
                <w:p>
                  <w:pPr>
                    <w:pStyle w:val="Normal"/>
                    <w:widowControl/>
                    <w:bidi w:val="0"/>
                    <w:spacing w:before="120" w:after="120"/>
                    <w:jc w:val="both"/>
                    <w:rPr>
                      <w:color w:val="000000"/>
                    </w:rPr>
                  </w:pPr>
                  <w:r>
                    <w:rPr>
                      <w:rFonts w:cs="Arial" w:ascii="Arial" w:hAnsi="Arial"/>
                      <w:b/>
                      <w:bCs w:val="false"/>
                      <w:color w:val="000080"/>
                      <w:sz w:val="20"/>
                      <w:szCs w:val="20"/>
                    </w:rPr>
                    <w:t>Date:</w:t>
                  </w:r>
                  <w:r>
                    <w:rPr/>
                    <w:t> </w:t>
                  </w:r>
                </w:p>
              </w:tc>
              <w:tc>
                <w:tcPr>
                  <w:tcW w:w="5684" w:type="dxa"/>
                  <w:tcBorders/>
                  <w:vAlign w:val="center"/>
                </w:tcPr>
                <w:p>
                  <w:pPr>
                    <w:pStyle w:val="Normal"/>
                    <w:widowControl/>
                    <w:bidi w:val="0"/>
                    <w:spacing w:before="120" w:after="120"/>
                    <w:jc w:val="both"/>
                    <w:rPr>
                      <w:color w:val="000000"/>
                    </w:rPr>
                  </w:pPr>
                  <w:r>
                    <w:rPr/>
                    <w:t>10/02/2000</w:t>
                  </w:r>
                </w:p>
              </w:tc>
            </w:tr>
            <w:tr>
              <w:trPr/>
              <w:tc>
                <w:tcPr>
                  <w:tcW w:w="2092" w:type="dxa"/>
                  <w:tcBorders/>
                </w:tcPr>
                <w:p>
                  <w:pPr>
                    <w:pStyle w:val="Normal"/>
                    <w:widowControl/>
                    <w:bidi w:val="0"/>
                    <w:spacing w:before="120" w:after="120"/>
                    <w:jc w:val="both"/>
                    <w:rPr>
                      <w:color w:val="000000"/>
                    </w:rPr>
                  </w:pPr>
                  <w:r>
                    <w:rPr>
                      <w:rFonts w:cs="Arial" w:ascii="Arial" w:hAnsi="Arial"/>
                      <w:b/>
                      <w:bCs w:val="false"/>
                      <w:color w:val="000080"/>
                      <w:sz w:val="20"/>
                      <w:szCs w:val="20"/>
                    </w:rPr>
                    <w:t>Document ID:</w:t>
                  </w:r>
                  <w:r>
                    <w:rPr/>
                    <w:t> </w:t>
                  </w:r>
                </w:p>
              </w:tc>
              <w:tc>
                <w:tcPr>
                  <w:tcW w:w="5684" w:type="dxa"/>
                  <w:tcBorders/>
                  <w:vAlign w:val="center"/>
                </w:tcPr>
                <w:p>
                  <w:pPr>
                    <w:pStyle w:val="Normal"/>
                    <w:widowControl/>
                    <w:bidi w:val="0"/>
                    <w:spacing w:before="120" w:after="120"/>
                    <w:jc w:val="both"/>
                    <w:rPr>
                      <w:color w:val="000000"/>
                    </w:rPr>
                  </w:pPr>
                  <w:r>
                    <w:rPr/>
                    <w:t>NC20000922020000261</w:t>
                  </w:r>
                </w:p>
              </w:tc>
            </w:tr>
            <w:tr>
              <w:trPr/>
              <w:tc>
                <w:tcPr>
                  <w:tcW w:w="2092" w:type="dxa"/>
                  <w:tcBorders/>
                </w:tcPr>
                <w:p>
                  <w:pPr>
                    <w:pStyle w:val="Normal"/>
                    <w:widowControl/>
                    <w:bidi w:val="0"/>
                    <w:spacing w:before="120" w:after="120"/>
                    <w:jc w:val="both"/>
                    <w:rPr>
                      <w:color w:val="000000"/>
                    </w:rPr>
                  </w:pPr>
                  <w:r>
                    <w:rPr>
                      <w:rFonts w:cs="Arial" w:ascii="Arial" w:hAnsi="Arial"/>
                      <w:b/>
                      <w:bCs w:val="false"/>
                      <w:color w:val="000080"/>
                      <w:sz w:val="20"/>
                      <w:szCs w:val="20"/>
                    </w:rPr>
                    <w:t>Subject(s):</w:t>
                  </w:r>
                  <w:r>
                    <w:rPr/>
                    <w:t> </w:t>
                  </w:r>
                </w:p>
              </w:tc>
              <w:tc>
                <w:tcPr>
                  <w:tcW w:w="5684" w:type="dxa"/>
                  <w:tcBorders/>
                  <w:vAlign w:val="center"/>
                </w:tcPr>
                <w:p>
                  <w:pPr>
                    <w:pStyle w:val="Normal"/>
                    <w:widowControl/>
                    <w:bidi w:val="0"/>
                    <w:spacing w:before="120" w:after="120"/>
                    <w:jc w:val="both"/>
                    <w:rPr>
                      <w:color w:val="000000"/>
                    </w:rPr>
                  </w:pPr>
                  <w:r>
                    <w:rPr/>
                    <w:t>Corporations; Business; Poll</w:t>
                    <w:br/>
                    <w:t>Business &amp; Investing</w:t>
                  </w:r>
                </w:p>
              </w:tc>
            </w:tr>
            <w:tr>
              <w:trPr/>
              <w:tc>
                <w:tcPr>
                  <w:tcW w:w="2092" w:type="dxa"/>
                  <w:tcBorders/>
                </w:tcPr>
                <w:p>
                  <w:pPr>
                    <w:pStyle w:val="Normal"/>
                    <w:widowControl/>
                    <w:bidi w:val="0"/>
                    <w:spacing w:before="120" w:after="120"/>
                    <w:jc w:val="both"/>
                    <w:rPr>
                      <w:color w:val="000000"/>
                    </w:rPr>
                  </w:pPr>
                  <w:r>
                    <w:rPr>
                      <w:rFonts w:cs="Arial" w:ascii="Arial" w:hAnsi="Arial"/>
                      <w:b/>
                      <w:bCs w:val="false"/>
                      <w:color w:val="000080"/>
                      <w:sz w:val="20"/>
                      <w:szCs w:val="20"/>
                    </w:rPr>
                    <w:t>Citation Information:</w:t>
                  </w:r>
                  <w:r>
                    <w:rPr/>
                    <w:t> </w:t>
                  </w:r>
                </w:p>
              </w:tc>
              <w:tc>
                <w:tcPr>
                  <w:tcW w:w="5684" w:type="dxa"/>
                  <w:tcBorders/>
                  <w:vAlign w:val="center"/>
                </w:tcPr>
                <w:p>
                  <w:pPr>
                    <w:pStyle w:val="Normal"/>
                    <w:widowControl/>
                    <w:bidi w:val="0"/>
                    <w:spacing w:before="120" w:after="120"/>
                    <w:jc w:val="both"/>
                    <w:rPr>
                      <w:color w:val="000000"/>
                    </w:rPr>
                  </w:pPr>
                  <w:r>
                    <w:rPr/>
                    <w:t>(ISSN 0015-8259) Vol. 142 No. 7 page 182+ Features/Global Most Admired</w:t>
                  </w:r>
                </w:p>
              </w:tc>
            </w:tr>
            <w:tr>
              <w:trPr/>
              <w:tc>
                <w:tcPr>
                  <w:tcW w:w="2092" w:type="dxa"/>
                  <w:tcBorders/>
                </w:tcPr>
                <w:p>
                  <w:pPr>
                    <w:pStyle w:val="Normal"/>
                    <w:widowControl/>
                    <w:bidi w:val="0"/>
                    <w:spacing w:before="120" w:after="120"/>
                    <w:jc w:val="both"/>
                    <w:rPr>
                      <w:color w:val="000000"/>
                    </w:rPr>
                  </w:pPr>
                  <w:r>
                    <w:rPr>
                      <w:rFonts w:cs="Arial" w:ascii="Arial" w:hAnsi="Arial"/>
                      <w:b/>
                      <w:bCs w:val="false"/>
                      <w:color w:val="000080"/>
                      <w:sz w:val="20"/>
                      <w:szCs w:val="20"/>
                    </w:rPr>
                    <w:t>Author(s):</w:t>
                  </w:r>
                  <w:r>
                    <w:rPr/>
                    <w:t> </w:t>
                  </w:r>
                </w:p>
              </w:tc>
              <w:tc>
                <w:tcPr>
                  <w:tcW w:w="5684" w:type="dxa"/>
                  <w:tcBorders/>
                  <w:vAlign w:val="center"/>
                </w:tcPr>
                <w:p>
                  <w:pPr>
                    <w:pStyle w:val="Normal"/>
                    <w:widowControl/>
                    <w:bidi w:val="0"/>
                    <w:spacing w:before="120" w:after="120"/>
                    <w:jc w:val="both"/>
                    <w:rPr>
                      <w:color w:val="000000"/>
                    </w:rPr>
                  </w:pPr>
                  <w:r>
                    <w:rPr/>
                    <w:t>Nicholas Stein</w:t>
                  </w:r>
                </w:p>
              </w:tc>
            </w:tr>
          </w:tbl>
          <w:p>
            <w:pPr>
              <w:pStyle w:val="Normal"/>
              <w:spacing w:before="120" w:after="120"/>
              <w:rPr>
                <w:color w:val="000000"/>
              </w:rPr>
            </w:pPr>
            <w:r>
              <w:rPr>
                <w:color w:val="000000"/>
              </w:rPr>
            </w:r>
          </w:p>
        </w:tc>
      </w:tr>
    </w:tbl>
    <w:p>
      <w:pPr>
        <w:pStyle w:val="Normal"/>
        <w:rPr>
          <w:rFonts w:ascii="Arial" w:hAnsi="Arial" w:cs="Arial"/>
          <w:sz w:val="20"/>
          <w:szCs w:val="20"/>
        </w:rPr>
      </w:pPr>
      <w:r>
        <w:rPr>
          <w:rFonts w:cs="Arial" w:ascii="Arial" w:hAnsi="Arial"/>
          <w:sz w:val="20"/>
          <w:szCs w:val="20"/>
        </w:rPr>
        <w:t>No company illustrates the transformative power of innovation more dramatically than Enron. Over the past decade Enron's commitment to the invention--and later domination--of new business categories has taken it from a $200 million old-economy pipeline operator to a $40 billion new-economy trading powerhouse. In 1985, Enron recognized the opportunities wrought by natural gas deregulation and began to trade it like a commodity. Soon it was opening new markets trading electric power, pulp, paper--even broadband. Jeff Shenkman, the COO of Enron Global Markets, credits the company's culture for its success in building frontier markets. "Challenging conventional wisdom is something we push here," he says. "The way we do things today is different from how we will do it six months from now." For example, Louise Kitchen, a trader in Enron's London office, was able to attract a group of 350 people for a project to take the company's gas-trading operations online--before upper management even knew about it. Launched in November 1999, Enron Online has racked up $129 billion in transactions, making it one of the largest e-commerce sites in the world. "We didn't start it because the chairman said we needed an e-commerce strategy," says EVP Steve Kean. "The quality and strength of ideas are determined by how many employees support them--not by upper management. Good ideas are able to attract the resources they need to move forward freely."</w:t>
      </w:r>
      <w:r>
        <w:br w:type="page"/>
      </w:r>
    </w:p>
    <w:p>
      <w:pPr>
        <w:pStyle w:val="Normal"/>
        <w:spacing w:before="0" w:after="0"/>
        <w:jc w:val="start"/>
        <w:rPr>
          <w:bCs w:val="false"/>
        </w:rPr>
      </w:pPr>
      <w:r>
        <w:rPr>
          <w:b/>
          <w:bCs w:val="false"/>
        </w:rPr>
        <w:t xml:space="preserve">Monday December 18, 5:44 pm </w:t>
      </w:r>
      <w:r>
        <w:rPr>
          <w:b/>
          <w:bCs w:val="false"/>
          <w:sz w:val="20"/>
          <w:szCs w:val="20"/>
        </w:rPr>
        <w:t>Eastern Time</w:t>
      </w:r>
      <w:r>
        <w:rPr/>
        <w:t xml:space="preserve"> </w:t>
      </w:r>
    </w:p>
    <w:p>
      <w:pPr>
        <w:pStyle w:val="Heading3"/>
        <w:ind w:hanging="0" w:start="0"/>
        <w:rPr/>
      </w:pPr>
      <w:r>
        <w:rPr/>
        <w:t>Press Release</w:t>
      </w:r>
    </w:p>
    <w:p>
      <w:pPr>
        <w:pStyle w:val="Normal"/>
        <w:rPr/>
      </w:pPr>
      <w:r>
        <w:rPr>
          <w:i/>
          <w:iCs/>
        </w:rPr>
        <w:t>SOURCE: Enron Corp.</w:t>
      </w:r>
      <w:r>
        <w:rPr/>
        <w:t xml:space="preserve"> </w:t>
      </w:r>
    </w:p>
    <w:p>
      <w:pPr>
        <w:pStyle w:val="Heading2"/>
        <w:rPr/>
      </w:pPr>
      <w:r>
        <w:rPr/>
        <w:t>Enron Named #22 of '100 Best Companies to Work for in America'</w:t>
      </w:r>
    </w:p>
    <w:p>
      <w:pPr>
        <w:pStyle w:val="NormalWeb"/>
        <w:rPr/>
      </w:pPr>
      <w:r>
        <w:rPr/>
        <w:t xml:space="preserve">HOUSTON, Dec. 18 /PRNewswire/ -- Enron (NYSE: </w:t>
      </w:r>
      <w:hyperlink r:id="rId3">
        <w:r>
          <w:rPr>
            <w:rStyle w:val="Hyperlink"/>
          </w:rPr>
          <w:t>ENE</w:t>
        </w:r>
      </w:hyperlink>
      <w:r>
        <w:rPr/>
        <w:t xml:space="preserve"> - </w:t>
      </w:r>
      <w:hyperlink r:id="rId4">
        <w:r>
          <w:rPr>
            <w:rStyle w:val="Hyperlink"/>
          </w:rPr>
          <w:t>news</w:t>
        </w:r>
      </w:hyperlink>
      <w:r>
        <w:rPr/>
        <w:t xml:space="preserve">) was named today one of the ``100 Best Companies to Work For in America'' by Fortune magazine. Climbing to number 22 from number 24 last year, Enron is the highest ranking global energy company on the list. </w:t>
      </w:r>
    </w:p>
    <w:p>
      <w:pPr>
        <w:pStyle w:val="NormalWeb"/>
        <w:rPr/>
      </w:pPr>
      <w:r>
        <w:rPr/>
        <w:t xml:space="preserve">``Our corporate culture and our world-class employees make Enron a great place to work,'' said Kenneth L. Lay, Enron chairman and CEO. ``We are proud to receive recognition as a top workplace; it's a reflection of our commitment to our employees and to their key role in our company's success.'' </w:t>
      </w:r>
    </w:p>
    <w:p>
      <w:pPr>
        <w:pStyle w:val="NormalWeb"/>
        <w:rPr/>
      </w:pPr>
      <w:r>
        <w:rPr/>
        <w:t xml:space="preserve">The Fortune survey is based primarily on feedback from employees, who were randomly selected to fill out a 57-question survey developed by The Great Place to Work Institute in San Francisco. The remaining part of Fortune's scoring was based on a culture audit and a detailed human resources questionnaire. </w:t>
      </w:r>
    </w:p>
    <w:p>
      <w:pPr>
        <w:pStyle w:val="NormalWeb"/>
        <w:rPr/>
      </w:pPr>
      <w:r>
        <w:rPr/>
        <w:t xml:space="preserve">Enron adds the ``100 Best Companies to Work For in America'' distinction to its ``Most Innovative Company in America'' accolade, which it has received from Fortune magazine for the past five years. The magazine also has named Enron the top company for ``Quality of Management and the second best company for ''Employee Talent.`` </w:t>
      </w:r>
    </w:p>
    <w:p>
      <w:pPr>
        <w:pStyle w:val="NormalWeb"/>
        <w:rPr/>
      </w:pPr>
      <w:r>
        <w:rPr/>
        <w:t xml:space="preserve">Enron is one of the world's leading electricity, natural gas and communications companies. The company, with revenues of $40 billion in 1999 and $60 billion for the first nine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hyperlink r:id="rId5">
        <w:r>
          <w:rPr>
            <w:rStyle w:val="Hyperlink"/>
          </w:rPr>
          <w:t>www.enron.com</w:t>
        </w:r>
      </w:hyperlink>
      <w:r>
        <w:rPr/>
        <w:t xml:space="preserve">. The stock is traded under the ticker symbol ``ENE''. </w:t>
      </w:r>
      <w:r>
        <w:rPr/>
        <w:br w:type="textWrapping" w:clear="all"/>
      </w:r>
    </w:p>
    <w:p>
      <w:pPr>
        <w:pStyle w:val="HTMLPreformatted"/>
        <w:rPr/>
      </w:pPr>
      <w:r>
        <w:rPr/>
        <w:t xml:space="preserve">     </w:t>
      </w:r>
      <w:r>
        <w:rPr/>
        <w:t>Laura Schwartz</w:t>
      </w:r>
    </w:p>
    <w:p>
      <w:pPr>
        <w:pStyle w:val="HTMLPreformatted"/>
        <w:rPr/>
      </w:pPr>
      <w:r>
        <w:rPr/>
        <w:t xml:space="preserve">     </w:t>
      </w:r>
      <w:r>
        <w:rPr/>
        <w:t>713-853-4535</w:t>
      </w:r>
    </w:p>
    <w:p>
      <w:pPr>
        <w:pStyle w:val="NormalWeb"/>
        <w:rPr/>
      </w:pPr>
      <w:r>
        <w:rPr>
          <w:i/>
          <w:iCs/>
        </w:rPr>
        <w:t>SOURCE: Enron Corp.</w:t>
      </w:r>
      <w:r>
        <w:rPr/>
        <w:t xml:space="preserve"> </w:t>
      </w:r>
      <w:r>
        <w:br w:type="page"/>
      </w:r>
    </w:p>
    <w:p>
      <w:pPr>
        <w:pStyle w:val="Heading1"/>
        <w:rPr/>
      </w:pPr>
      <w:r>
        <w:rPr/>
        <w:t>Hamel on Enron</w:t>
      </w:r>
      <w:r>
        <w:rPr>
          <w:rStyle w:val="FootnoteCharacters"/>
          <w:rStyle w:val="FootnoteReference"/>
        </w:rPr>
        <w:footnoteReference w:id="7"/>
      </w:r>
    </w:p>
    <w:p>
      <w:pPr>
        <w:pStyle w:val="Normal"/>
        <w:rPr/>
      </w:pPr>
      <w:r>
        <w:rPr/>
        <w:t xml:space="preserve">How is it that Enron is able to move so quickly to define the nature of competition in newly deregulated markets ahead of its would be competitors.  Stated somewhat differently, if everyone knows about the deregulation event, how is it that Enron has been able to move so quickly to define the nature of the competitive market?    </w:t>
      </w:r>
    </w:p>
    <w:p>
      <w:pPr>
        <w:pStyle w:val="Normal"/>
        <w:rPr/>
      </w:pPr>
      <w:r>
        <w:rPr/>
        <w:t xml:space="preserve">Gary Hamel (2000) points identifies ten design rules that he believes underlie the successful harnessing of the innovative spirit within companies like Enron.  </w:t>
      </w:r>
      <w:r>
        <w:rPr>
          <w:i/>
          <w:iCs/>
        </w:rPr>
        <w:t>Design rule #1 is to set unreasonable expectations based that no company (or individual for that matter) outperforms its aspirations</w:t>
      </w:r>
      <w:r>
        <w:rPr/>
        <w:t>.  He quotes an Enron executive stating that “We are always looking the next elephant—the next huge business we can create.  That’s what keeps up awake at night.  Every new thing we do starts out with a completely unrealistic expectation.”</w:t>
      </w:r>
    </w:p>
    <w:p>
      <w:pPr>
        <w:pStyle w:val="Normal"/>
        <w:rPr/>
      </w:pPr>
      <w:r>
        <w:rPr/>
        <w:t xml:space="preserve">Hamel’s (2000) </w:t>
      </w:r>
      <w:r>
        <w:rPr>
          <w:i/>
          <w:iCs/>
        </w:rPr>
        <w:t>Design rule #2 states that the definition of the business should remain elastic (not static).</w:t>
      </w:r>
      <w:r>
        <w:rPr/>
        <w:t xml:space="preserve">  The idea here is not to become hidebound by your own narrow self-concept of the firm’s boundaries.  He quotes an Enron executive on this issue as saying “We’ve never viewed Enron as just an energy company.  We’re pretty good at creating new products and services around our high-tech trading and risk management skills.”</w:t>
      </w:r>
    </w:p>
    <w:p>
      <w:pPr>
        <w:pStyle w:val="Normal"/>
        <w:rPr/>
      </w:pPr>
      <w:r>
        <w:rPr>
          <w:i/>
          <w:iCs/>
        </w:rPr>
        <w:t>Design rule #3 is that the firm is engaged in a cause, not a business.</w:t>
      </w:r>
      <w:r>
        <w:rPr/>
        <w:t xml:space="preserve">  He quotes an Enron executive as saying that “We always felt we were on a mission.  We were morally outraged that so much of the energy business was a government-mandated monopoly.  You were hostage as a customer.  We were always on the side the angels.  The people who were against us were always the entrenched interests. </w:t>
      </w:r>
    </w:p>
    <w:p>
      <w:pPr>
        <w:pStyle w:val="Normal"/>
        <w:rPr/>
      </w:pPr>
      <w:r>
        <w:rPr>
          <w:i/>
          <w:iCs/>
        </w:rPr>
        <w:t>Design rule #4 is that management must learn to listen to revolutionary strategies from revolutionary voices.</w:t>
      </w:r>
      <w:r>
        <w:rPr/>
        <w:t xml:space="preserve">  There are many instances where this has happened at Enron.  For example, Enron Online was created by a 29 year old manager of gas trading, who knew what was possible and took the initiative to make it happen.  </w:t>
      </w:r>
    </w:p>
    <w:p>
      <w:pPr>
        <w:pStyle w:val="Normal"/>
        <w:rPr/>
      </w:pPr>
      <w:r>
        <w:rPr>
          <w:i/>
          <w:iCs/>
        </w:rPr>
        <w:t>Design rule #5 is to create an open market for ideas within which new and innovative ideas are not only welcomed but serve as the path to success in the organization</w:t>
      </w:r>
      <w:r>
        <w:rPr/>
        <w:t>.  To encourage this at Enron the company has taken down as many physical walls as they can and the ones that remain are covered with whiteboards where employees are encouraged to note their new business ideas.</w:t>
      </w:r>
    </w:p>
    <w:p>
      <w:pPr>
        <w:pStyle w:val="Normal"/>
        <w:rPr/>
      </w:pPr>
      <w:r>
        <w:rPr>
          <w:i/>
          <w:iCs/>
        </w:rPr>
        <w:t>Design rule #6 is to create an open market for capital.</w:t>
      </w:r>
      <w:r>
        <w:rPr/>
        <w:t xml:space="preserve">  The traditional model of capital allocation to new investments is one of making sure that big losers do not get funded.  Unfortunately, this protect the downside attitude all to often results in new and innovative projects going unfunded.  Essentially the internal capital market must change its mindset from that of a banker or lender to that of a venture capitalist.  </w:t>
      </w:r>
    </w:p>
    <w:p>
      <w:pPr>
        <w:pStyle w:val="Normal"/>
        <w:rPr/>
      </w:pPr>
      <w:r>
        <w:rPr>
          <w:i/>
          <w:iCs/>
        </w:rPr>
        <w:t>Design rule #7 is that the firm’s market for talent must remain open.</w:t>
      </w:r>
      <w:r>
        <w:rPr/>
        <w:t xml:space="preserve">  That is, individuals must be free to move to what they perceive to be the best opportunity for value creation (in which they will share).  For example, within Enron the culture is one of allowing individuals to move freely within the company.  Essentially, the best people belong to the corporation, not a single business leader.  This maxim was borne out when Enron set out to create a business in trading bandwidth the new management team identified 70 individuals that were critical to a fast start and 64 of them came into the bandwidth business in a week!</w:t>
      </w:r>
      <w:r>
        <w:rPr>
          <w:rStyle w:val="FootnoteCharacters"/>
          <w:rStyle w:val="FootnoteReference"/>
        </w:rPr>
        <w:footnoteReference w:id="8"/>
      </w:r>
      <w:r>
        <w:rPr/>
        <w:t xml:space="preserve">  </w:t>
      </w:r>
    </w:p>
    <w:p>
      <w:pPr>
        <w:pStyle w:val="Normal"/>
        <w:rPr/>
      </w:pPr>
      <w:r>
        <w:rPr>
          <w:i/>
          <w:iCs/>
        </w:rPr>
        <w:t xml:space="preserve">Design rule #8 is low risk experimentation. </w:t>
      </w:r>
      <w:r>
        <w:rPr/>
        <w:t xml:space="preserve"> Conventional wisdom is that incrementalism is lower risk than engaging in revolutionary change.  However, in a dynamic and fast paced world nothing could be further from the truth.  </w:t>
      </w:r>
      <w:r>
        <w:rPr>
          <w:i/>
          <w:iCs/>
        </w:rPr>
        <w:t xml:space="preserve"> </w:t>
      </w:r>
      <w:r>
        <w:rPr/>
        <w:t xml:space="preserve"> </w:t>
      </w:r>
    </w:p>
    <w:p>
      <w:pPr>
        <w:pStyle w:val="Normal"/>
        <w:rPr/>
      </w:pPr>
      <w:r>
        <w:rPr>
          <w:i/>
          <w:iCs/>
        </w:rPr>
        <w:t>Design rule #9 engage in cellular division.</w:t>
      </w:r>
      <w:r>
        <w:rPr/>
        <w:t xml:space="preserve">  At Enron “We haven’t been able to start new businesses within existing businesses.  Big businesses will scratch their itch first.  When we started our wholesale electricity business, we physically segregated the start-up team.  These people had been working within wholesale gas business.  We told them, “there’s no going back.”  </w:t>
      </w:r>
    </w:p>
    <w:p>
      <w:pPr>
        <w:pStyle w:val="Normal"/>
        <w:rPr/>
      </w:pPr>
      <w:r>
        <w:rPr>
          <w:i/>
          <w:iCs/>
        </w:rPr>
        <w:t>Design rule #10 is to provide for personal wealth accumulation.</w:t>
      </w:r>
      <w:r>
        <w:rPr/>
        <w:t xml:space="preserve">  Based on the premise that you don’t reward entrepreneurs like you reward stewards Enron pays people like entrepreneurs.  Specifically, Enron understands that if you want people to create wealth, you have to share the wealth.  Furthermore, when you engage in innovative investments you have to anticipate that not all will succeed so failure must not lead to firing.</w:t>
      </w:r>
    </w:p>
    <w:p>
      <w:pPr>
        <w:pStyle w:val="Heading1"/>
        <w:rPr/>
      </w:pPr>
      <w:r>
        <w:rPr/>
        <w:br/>
      </w:r>
      <w:r>
        <w:br w:type="page"/>
      </w:r>
    </w:p>
    <w:p>
      <w:pPr>
        <w:pStyle w:val="Heading1"/>
        <w:rPr/>
      </w:pPr>
      <w:r>
        <w:rPr/>
        <w:t>The core of Enron’s business investment strategy</w:t>
      </w:r>
    </w:p>
    <w:p>
      <w:pPr>
        <w:pStyle w:val="Normal"/>
        <w:rPr/>
      </w:pPr>
      <w:r>
        <w:rPr/>
        <w:t xml:space="preserve">Overarching Enron’s energy strategy is a set of five key elements that define their approach to identifying, analyzing and operating their investments:  </w:t>
        <w:tab/>
      </w:r>
    </w:p>
    <w:p>
      <w:pPr>
        <w:pStyle w:val="Heading3"/>
        <w:ind w:hanging="0" w:start="0"/>
        <w:rPr/>
      </w:pPr>
      <w:r>
        <w:rPr/>
        <w:t xml:space="preserve">Centralized risk management </w:t>
      </w:r>
    </w:p>
    <w:p>
      <w:pPr>
        <w:pStyle w:val="Normal"/>
        <w:rPr/>
      </w:pPr>
      <w:r>
        <w:rPr/>
        <w:t xml:space="preserve">including the use of mark-to-market accounting on a daily basis combined with a daily assessment of the firm's value at risk position. </w:t>
      </w:r>
    </w:p>
    <w:p>
      <w:pPr>
        <w:pStyle w:val="Heading3"/>
        <w:ind w:hanging="0" w:start="0"/>
        <w:rPr/>
      </w:pPr>
      <w:r>
        <w:rPr/>
        <w:t xml:space="preserve">Combining physical assets and financial instruments  </w:t>
      </w:r>
    </w:p>
    <w:p>
      <w:pPr>
        <w:pStyle w:val="Normal"/>
        <w:rPr/>
      </w:pPr>
      <w:r>
        <w:rPr/>
        <w:t>Examples include energy sources (gas, oil, and electricity), as well as broadband and an array of commodities including paper (pulp) and metals.</w:t>
      </w:r>
    </w:p>
    <w:p>
      <w:pPr>
        <w:pStyle w:val="Heading3"/>
        <w:ind w:hanging="0" w:start="0"/>
        <w:rPr/>
      </w:pPr>
      <w:r>
        <w:rPr/>
        <w:t>Moving quickly to capture value in deregulating markets</w:t>
      </w:r>
    </w:p>
    <w:p>
      <w:pPr>
        <w:pStyle w:val="Normal"/>
        <w:rPr/>
      </w:pPr>
      <w:r>
        <w:rPr/>
        <w:t>Capitalizing on opportunities arising out of deregulating markets by moving quickly to stimulate the development of competitive markets.  Examples include natural gas, crude oil, electricity, and water.</w:t>
      </w:r>
    </w:p>
    <w:p>
      <w:pPr>
        <w:pStyle w:val="Heading3"/>
        <w:ind w:hanging="0" w:start="0"/>
        <w:rPr/>
      </w:pPr>
      <w:r>
        <w:rPr/>
        <w:t xml:space="preserve">Focusing on asset optionality </w:t>
      </w:r>
    </w:p>
    <w:p>
      <w:pPr>
        <w:pStyle w:val="Normal"/>
        <w:rPr/>
      </w:pPr>
      <w:r>
        <w:rPr/>
        <w:t>A key feature in all of Enron’s investment decisions is consideration for asset optionality.  That is, .</w:t>
      </w:r>
    </w:p>
    <w:p>
      <w:pPr>
        <w:pStyle w:val="Heading3"/>
        <w:ind w:hanging="0" w:start="0"/>
        <w:rPr/>
      </w:pPr>
      <w:r>
        <w:rPr/>
        <w:t>Networking</w:t>
      </w:r>
    </w:p>
    <w:p>
      <w:pPr>
        <w:pStyle w:val="Normal"/>
        <w:rPr/>
      </w:pPr>
      <w:r>
        <w:rPr/>
        <w:t>Organizing around a network strategy to capitalize on business opportunities without the necessity for ownership of physical assets.</w:t>
      </w:r>
    </w:p>
    <w:p>
      <w:pPr>
        <w:pStyle w:val="Normal"/>
        <w:rPr/>
      </w:pPr>
      <w:r>
        <w:rPr/>
      </w:r>
    </w:p>
    <w:p>
      <w:pPr>
        <w:pStyle w:val="Normal"/>
        <w:spacing w:before="120" w:after="120"/>
        <w:rPr/>
      </w:pPr>
      <w:r>
        <w:rPr/>
      </w:r>
    </w:p>
    <w:sectPr>
      <w:footerReference w:type="default" r:id="rId6"/>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ntique Olv (W1)">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 xml:space="preserve">Page </w:t>
    </w:r>
    <w:r>
      <w:rPr>
        <w:sz w:val="20"/>
      </w:rPr>
      <w:fldChar w:fldCharType="begin"/>
    </w:r>
    <w:r>
      <w:rPr>
        <w:sz w:val="20"/>
      </w:rPr>
      <w:instrText xml:space="preserve"> PAGE </w:instrText>
    </w:r>
    <w:r>
      <w:rPr>
        <w:sz w:val="20"/>
      </w:rPr>
      <w:fldChar w:fldCharType="separate"/>
    </w:r>
    <w:r>
      <w:rPr>
        <w:sz w:val="20"/>
      </w:rPr>
      <w:t>13</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120" w:after="120"/>
        <w:rPr/>
      </w:pPr>
      <w:r>
        <w:rPr>
          <w:rStyle w:val="FootnoteCharacters"/>
        </w:rPr>
        <w:footnoteRef/>
      </w:r>
      <w:r>
        <w:rPr/>
        <w:t xml:space="preserve"> </w:t>
      </w:r>
      <w:r>
        <w:rPr/>
        <w:t xml:space="preserve">In 1975 newly appointed CEO Kari Kairamo began the process of changing the firm's corporate focus from forest products to consumer electronics.  In 1981 Nokia acquired 51% of the Finnish telecommunications company (Telenokia) and begins manufacturing mobile phones in 1986.  Throughout this period Nokia continued to own and operate a variety of businesses including paper, television, printed circuit boards, and tires.  </w:t>
      </w:r>
    </w:p>
  </w:footnote>
  <w:footnote w:id="3">
    <w:p>
      <w:pPr>
        <w:pStyle w:val="FootnoteText"/>
        <w:spacing w:lineRule="auto" w:line="240" w:before="120" w:after="120"/>
        <w:rPr/>
      </w:pPr>
      <w:r>
        <w:rPr>
          <w:rStyle w:val="FootnoteCharacters"/>
        </w:rPr>
        <w:footnoteRef/>
      </w:r>
      <w:r>
        <w:rPr/>
        <w:t xml:space="preserve"> </w:t>
      </w:r>
      <w:r>
        <w:rPr/>
        <w:t>See Wruck (1994) for a detailed discussion of the Sealed Air recapitalization story.</w:t>
      </w:r>
    </w:p>
  </w:footnote>
  <w:footnote w:id="4">
    <w:p>
      <w:pPr>
        <w:pStyle w:val="FootnoteText"/>
        <w:spacing w:lineRule="auto" w:line="240" w:before="120" w:after="120"/>
        <w:rPr/>
      </w:pPr>
      <w:r>
        <w:rPr>
          <w:rStyle w:val="FootnoteCharacters"/>
        </w:rPr>
        <w:footnoteRef/>
      </w:r>
      <w:r>
        <w:rPr/>
        <w:t xml:space="preserve"> </w:t>
      </w:r>
      <w:r>
        <w:rPr/>
        <w:t xml:space="preserve">Mark Palmer (Managing Director of Corporate Communications) stated that during 1986 Enron suffered the nationalization of a pipeline in Peru as well as substantial losses resulting from the actions of a gas trader. </w:t>
      </w:r>
    </w:p>
  </w:footnote>
  <w:footnote w:id="5">
    <w:p>
      <w:pPr>
        <w:pStyle w:val="FootnoteText"/>
        <w:spacing w:lineRule="auto" w:line="240" w:before="120" w:after="120"/>
        <w:rPr/>
      </w:pPr>
      <w:r>
        <w:rPr>
          <w:rStyle w:val="FootnoteCharacters"/>
        </w:rPr>
        <w:footnoteRef/>
      </w:r>
      <w:r>
        <w:rPr/>
        <w:t xml:space="preserve"> </w:t>
      </w:r>
      <w:r>
        <w:rPr/>
        <w:t>See Sanjay Bhatnagar and Peter Tufano (1995) for a description of Enron's gas services and the notion of a gas bank that underlies it.</w:t>
      </w:r>
    </w:p>
  </w:footnote>
  <w:footnote w:id="6">
    <w:p>
      <w:pPr>
        <w:pStyle w:val="FootnoteText"/>
        <w:spacing w:lineRule="auto" w:line="240" w:before="120" w:after="120"/>
        <w:rPr/>
      </w:pPr>
      <w:r>
        <w:rPr>
          <w:rStyle w:val="FootnoteCharacters"/>
        </w:rPr>
        <w:footnoteRef/>
      </w:r>
      <w:r>
        <w:rPr/>
        <w:t xml:space="preserve"> </w:t>
      </w:r>
      <w:r>
        <w:rPr/>
        <w:t>The discussion in this section follows Bhatnagar and Tufano (1995).</w:t>
      </w:r>
    </w:p>
  </w:footnote>
  <w:footnote w:id="7">
    <w:p>
      <w:pPr>
        <w:pStyle w:val="FootnoteText"/>
        <w:spacing w:lineRule="auto" w:line="240" w:before="120" w:after="120"/>
        <w:rPr/>
      </w:pPr>
      <w:r>
        <w:rPr>
          <w:rStyle w:val="FootnoteCharacters"/>
        </w:rPr>
        <w:footnoteRef/>
      </w:r>
      <w:r>
        <w:rPr/>
        <w:t xml:space="preserve"> </w:t>
      </w:r>
      <w:r>
        <w:rPr/>
        <w:t>Based on Gary Hamel, 2000, Leading the Revolution, (Boston, MA:  Harvard Business School Press).</w:t>
      </w:r>
    </w:p>
  </w:footnote>
  <w:footnote w:id="8">
    <w:p>
      <w:pPr>
        <w:pStyle w:val="FootnoteText"/>
        <w:spacing w:lineRule="auto" w:line="240" w:before="120" w:after="120"/>
        <w:rPr/>
      </w:pPr>
      <w:r>
        <w:rPr>
          <w:rStyle w:val="FootnoteCharacters"/>
        </w:rPr>
        <w:footnoteRef/>
      </w:r>
      <w:r>
        <w:rPr/>
        <w:t xml:space="preserve"> </w:t>
      </w:r>
      <w:r>
        <w:rPr/>
        <w:t xml:space="preserve">There are a number of things that Enron does that facilitate the easy flow of talent within Enron:  First, at senior management levels all job titles are portable and go with the individuals, not positions.  Second, there is the potential for some serious wealth creation since the founding team in a new Enron business is typically given phantom equity whose value is tied to the success of the business.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80"/>
        </w:tabs>
        <w:ind w:start="780" w:hanging="360"/>
      </w:pPr>
      <w:rPr>
        <w:rFonts w:ascii="Courier New" w:hAnsi="Courier New" w:cs="Courier New"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jc w:val="both"/>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jc w:val="start"/>
    </w:pPr>
    <w:rPr>
      <w:bCs w:val="false"/>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start"/>
    </w:pPr>
    <w:rPr>
      <w:rFonts w:ascii="Courier New" w:hAnsi="Courier New" w:eastAsia="Courier New" w:cs="Courier New"/>
      <w:bCs w:val="false"/>
      <w:sz w:val="20"/>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ber.org/papers/w7748" TargetMode="External"/><Relationship Id="rId3" Type="http://schemas.openxmlformats.org/officeDocument/2006/relationships/hyperlink" Target="http://finance.yahoo.com/q?s=ene&amp;d=t" TargetMode="External"/><Relationship Id="rId4" Type="http://schemas.openxmlformats.org/officeDocument/2006/relationships/hyperlink" Target="http://biz.yahoo.com/n/e/ene.html" TargetMode="External"/><Relationship Id="rId5" Type="http://schemas.openxmlformats.org/officeDocument/2006/relationships/hyperlink" Target="http://www.enron.com/" TargetMode="Externa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2000-10-04T20:40:00Z</dcterms:created>
  <dc:creator>Casey Computer Center</dc:creator>
  <dc:description/>
  <dc:language>en-CA</dc:language>
  <cp:lastModifiedBy>Casey Computer Center</cp:lastModifiedBy>
  <cp:lastPrinted>2000-12-17T15:49:00Z</cp:lastPrinted>
  <dcterms:modified xsi:type="dcterms:W3CDTF">2000-12-19T18:47:00Z</dcterms:modified>
  <cp:revision>34</cp:revision>
  <dc:subject/>
  <dc:title>Enron Corporation Paper</dc:title>
</cp:coreProperties>
</file>