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ind w:hanging="0" w:end="0"/>
        <w:rPr/>
      </w:pPr>
      <w:r>
        <w:rPr/>
        <w:t xml:space="preserve">Transforming Enron Corporation as an Act of Managerial Will—The Value of Active Management </w:t>
      </w:r>
    </w:p>
    <w:p>
      <w:pPr>
        <w:pStyle w:val="BodyText"/>
        <w:spacing w:before="0" w:after="0"/>
        <w:ind w:hanging="0" w:end="0"/>
        <w:jc w:val="center"/>
        <w:rPr>
          <w:sz w:val="20"/>
        </w:rPr>
      </w:pPr>
      <w:r>
        <w:rPr>
          <w:sz w:val="20"/>
        </w:rPr>
        <w:t>Vince Kaminski, PhD (Director of Research, Enron Corporation, Houston, TX), Stinson Gibner, PhD (Vice President—Research, Enron Corporation, Houston, TX), and John Martin, PhD (Carr P. Collins Chair of Finance, Baylor University, Waco, TX)</w:t>
      </w:r>
    </w:p>
    <w:p>
      <w:pPr>
        <w:pStyle w:val="Heading1"/>
        <w:rPr/>
      </w:pPr>
      <w:r>
        <w:rPr/>
        <w:t>Introduction</w:t>
      </w:r>
    </w:p>
    <w:p>
      <w:pPr>
        <w:pStyle w:val="Normal"/>
        <w:rPr/>
      </w:pPr>
      <w:r>
        <w:rPr/>
        <w:t>Virtually every firm that has existed for many years has gone through one or more transformations.  Typically, the transformation process is precipitated by changes in the economy or the firm's competitive environment.  If the firm's reaction(s) is(are) successful it continues to survive.  For example, most of us know Nokia as a leading provider of wireless phones.  What you may not know is that Nokia was formed in 1865 to harvest forest products near the small town of Nokia, Finland.   Over many years the company evolved into the successful firm we know today.</w:t>
      </w:r>
      <w:r>
        <w:rPr>
          <w:rStyle w:val="FootnoteCharacters"/>
          <w:rStyle w:val="FootnoteReference"/>
        </w:rPr>
        <w:footnoteReference w:id="2"/>
      </w:r>
      <w:r>
        <w:rPr/>
        <w:t xml:space="preserve">  </w:t>
      </w:r>
    </w:p>
    <w:p>
      <w:pPr>
        <w:pStyle w:val="Normal"/>
        <w:rPr/>
      </w:pPr>
      <w:r>
        <w:rPr/>
        <w:t>There are, however, some instances in where a firm's leadership actively pursues change to increase the competitiveness of their organizations.  The Sealed Air Corporation provides one such example.</w:t>
      </w:r>
      <w:r>
        <w:rPr>
          <w:rStyle w:val="FootnoteCharacters"/>
          <w:rStyle w:val="FootnoteReference"/>
        </w:rPr>
        <w:footnoteReference w:id="3"/>
      </w:r>
      <w:r>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creating a crisis that disrupted the status quo and promoted internal change.  Internal changes included establishing a new objective, changing compensation systems, and reorganizing manufacturing and capital budgeting processes.  However, even this dramatic transformation was in large part a reaction to the fact that Sealed Air was losing its product patents and forced with the prospect of entering a very competitive environment for the first time in its existence.  The Enron transformation story is equally dramatic, and its impact may well prove to be longer lasting.  This is the story of the transformation of the Enron Corporation from a natural gas pipeline company into the innovative and competitive leader of the energy market.  </w:t>
      </w:r>
    </w:p>
    <w:p>
      <w:pPr>
        <w:pStyle w:val="Normal"/>
        <w:rPr/>
      </w:pPr>
      <w:r>
        <w:rPr/>
        <w:t>Enron Corporation was formed through the merger of InterNorth and Houston Natural Gas Corporation to form HNG/InterNorth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Today the Enron Corporation is the leading power marketer in the world and is also a leader in applying the skills developed from competing in the deregulation of the natural gas market to similar situations in the electric power market and most recently in the developing market for broadband.</w:t>
      </w:r>
    </w:p>
    <w:p>
      <w:pPr>
        <w:pStyle w:val="Normal"/>
        <w:rPr/>
      </w:pPr>
      <w:r>
        <w:rPr/>
        <w:t xml:space="preserve">In this paper we describe for the first time the blueprint used by Enron's leadership to transform the company into a dynamic, competitive and innovative value creator.  We document the implementation of Enron's business strategy through the stories of its many successful and some not so successful ventures.  These stories document a purposeful transformation of Enron from a natural gas pipeline company operating in a regulated industry into the dynamic entrepreneurial enterprise that has literally defined the power industry and is the leading creator of financial derivative products not only for energy related products but also for broadband and even weather based derivative products.   </w:t>
      </w:r>
    </w:p>
    <w:p>
      <w:pPr>
        <w:pStyle w:val="Heading1"/>
        <w:rPr/>
      </w:pPr>
      <w:r>
        <w:rPr/>
        <w:t xml:space="preserve">Designed metamorphosis—A blueprint for change at Enron </w:t>
      </w:r>
    </w:p>
    <w:p>
      <w:pPr>
        <w:pStyle w:val="Normal"/>
        <w:rPr/>
      </w:pPr>
      <w:r>
        <w:rPr/>
        <w:t>Beginning with the 1990s, Enron's stated philosophy was directed toward capitalizing on opportunities arising out of newly deregulated markets, "get in early, push to open markets, position ourselves to compete, and compete hard when the opening comes."  Enron has successfully applied this model to a number of markets including oil, gas, and wholesale electric power; but has been less successful in consumer electric power and water.  An example of this strategy is the recent formation of Enron Communications, Inc. (a wholly owned subsidiary of Enron Corporation and a leader in the delivery of high-bandwidth application services).  In a company press release President and COO Jeff Skilling" described the launch of the new business as follows:</w:t>
      </w:r>
    </w:p>
    <w:p>
      <w:pPr>
        <w:pStyle w:val="Normal"/>
        <w:rPr>
          <w:sz w:val="20"/>
        </w:rPr>
      </w:pPr>
      <w:r>
        <w:rPr>
          <w:sz w:val="20"/>
        </w:rPr>
        <w:t>"This is 'Day One' of a potentially enormous market.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  (Enron press release—December 2, 1999)</w:t>
      </w:r>
    </w:p>
    <w:p>
      <w:pPr>
        <w:pStyle w:val="Normal"/>
        <w:rPr/>
      </w:pPr>
      <w:r>
        <w:rPr/>
        <w:t>Enron’s energy strategy is built around five key elements:</w:t>
        <w:tab/>
      </w:r>
    </w:p>
    <w:p>
      <w:pPr>
        <w:pStyle w:val="Normal"/>
        <w:numPr>
          <w:ilvl w:val="1"/>
          <w:numId w:val="2"/>
        </w:numPr>
        <w:tabs>
          <w:tab w:val="clear" w:pos="720"/>
        </w:tabs>
        <w:ind w:hanging="360" w:start="540" w:end="0"/>
        <w:rPr/>
      </w:pPr>
      <w:r>
        <w:rPr/>
        <w:t xml:space="preserve">Centralized risk management including the use of mark-to-market accounting on a daily basis combined with a daily assessment of the firm's value at risk position. </w:t>
      </w:r>
    </w:p>
    <w:p>
      <w:pPr>
        <w:pStyle w:val="Normal"/>
        <w:numPr>
          <w:ilvl w:val="1"/>
          <w:numId w:val="2"/>
        </w:numPr>
        <w:tabs>
          <w:tab w:val="clear" w:pos="720"/>
        </w:tabs>
        <w:ind w:hanging="360" w:start="540" w:end="0"/>
        <w:rPr/>
      </w:pPr>
      <w:r>
        <w:rPr/>
        <w:t>Combination of physical assets and financial instruments.  Examples include energy sources (gas, oil, and electricity), as well as broadband and an array of commodities including paper (pulp) and metals.</w:t>
      </w:r>
    </w:p>
    <w:p>
      <w:pPr>
        <w:pStyle w:val="Normal"/>
        <w:numPr>
          <w:ilvl w:val="1"/>
          <w:numId w:val="2"/>
        </w:numPr>
        <w:tabs>
          <w:tab w:val="clear" w:pos="720"/>
        </w:tabs>
        <w:ind w:hanging="360" w:start="540" w:end="0"/>
        <w:rPr/>
      </w:pPr>
      <w:r>
        <w:rPr/>
        <w:t>Capitalizing on opportunities arising out of deregulating markets by moving quickly to stimulate the development of competitive markets.  Examples include natural gas, crude oil, electricity, and water.</w:t>
      </w:r>
    </w:p>
    <w:p>
      <w:pPr>
        <w:pStyle w:val="Normal"/>
        <w:numPr>
          <w:ilvl w:val="1"/>
          <w:numId w:val="2"/>
        </w:numPr>
        <w:tabs>
          <w:tab w:val="clear" w:pos="720"/>
        </w:tabs>
        <w:ind w:hanging="360" w:start="540" w:end="0"/>
        <w:rPr/>
      </w:pPr>
      <w:r>
        <w:rPr/>
        <w:t>Focusing on asset optionality as a key feature in all investment decisions.</w:t>
      </w:r>
    </w:p>
    <w:p>
      <w:pPr>
        <w:pStyle w:val="Normal"/>
        <w:numPr>
          <w:ilvl w:val="1"/>
          <w:numId w:val="2"/>
        </w:numPr>
        <w:tabs>
          <w:tab w:val="clear" w:pos="720"/>
        </w:tabs>
        <w:ind w:hanging="360" w:start="540" w:end="0"/>
        <w:rPr/>
      </w:pPr>
      <w:r>
        <w:rPr/>
        <w:t>Organizing around a network strategy to capitalize on business opportunities without the necessity for ownership of physical assets.</w:t>
      </w:r>
    </w:p>
    <w:p>
      <w:pPr>
        <w:pStyle w:val="Heading1"/>
        <w:rPr/>
      </w:pPr>
      <w:r>
        <w:rPr/>
        <w:t>Research Plan</w:t>
      </w:r>
    </w:p>
    <w:p>
      <w:pPr>
        <w:pStyle w:val="Normal"/>
        <w:rPr/>
      </w:pPr>
      <w:r>
        <w:rPr/>
        <w:t>We have not completed the research for the paper at this time.  However, as we point out in the plan that follows, we are well along in the process and expect to complete a draft of the paper by January 2001.  The plan of research for the paper consists of the following:</w:t>
      </w:r>
    </w:p>
    <w:p>
      <w:pPr>
        <w:pStyle w:val="Normal"/>
        <w:numPr>
          <w:ilvl w:val="0"/>
          <w:numId w:val="4"/>
        </w:numPr>
        <w:rPr/>
      </w:pPr>
      <w:r>
        <w:rPr/>
        <w:t>Utilize personal interviews with Enron's top management team (CEO, CFO, and President) to document the strategy formulation and execution process used by the firm.  All three of these interviews are scheduled for December 4, 2000.</w:t>
      </w:r>
    </w:p>
    <w:p>
      <w:pPr>
        <w:pStyle w:val="Normal"/>
        <w:numPr>
          <w:ilvl w:val="0"/>
          <w:numId w:val="4"/>
        </w:numPr>
        <w:rPr/>
      </w:pPr>
      <w:r>
        <w:rPr/>
        <w:t xml:space="preserve">Utilize published sources and the working knowledge of two of the paper's co-authors (Director of Research Vince Kaminski and VP for Research Stinson Gibner) to describe the details of Enron's business strategy.  </w:t>
      </w:r>
    </w:p>
    <w:p>
      <w:pPr>
        <w:pStyle w:val="Normal"/>
        <w:rPr/>
      </w:pPr>
      <w:r>
        <w:rPr/>
        <w:t>This is essentially a clinical research project focusing on the interface between finance and business strategy in the context of a very innovative and successful company.  Our objective is to document the strategic thinking of company leaders that is behind the continuing transformation of Enron as well as describe in detail the competitive distinctives that underlie the firm's success.</w:t>
      </w:r>
    </w:p>
    <w:p>
      <w:pPr>
        <w:pStyle w:val="Normal"/>
        <w:rPr/>
      </w:pPr>
      <w:r>
        <w:rPr/>
        <w:t>The "softer" side of the strategy formulation story behind Enron's success will revolve around answers provided by Ken Lay (CEO), Jeff Skilling (President and COO), and Andy Fastow (CFO) to questions such as the following:</w:t>
      </w:r>
    </w:p>
    <w:p>
      <w:pPr>
        <w:pStyle w:val="Normal"/>
        <w:numPr>
          <w:ilvl w:val="0"/>
          <w:numId w:val="3"/>
        </w:numPr>
        <w:rPr/>
      </w:pPr>
      <w:r>
        <w:rPr/>
        <w:t>How is strategy formulated at Enron?  Specifically, can you tell us about how management formulated the strategy to transform Enron since its origins?</w:t>
      </w:r>
    </w:p>
    <w:p>
      <w:pPr>
        <w:pStyle w:val="Normal"/>
        <w:numPr>
          <w:ilvl w:val="0"/>
          <w:numId w:val="3"/>
        </w:numPr>
        <w:rPr/>
      </w:pPr>
      <w:r>
        <w:rPr/>
        <w:t>How has management overcome resistance to change and institutional inertia?</w:t>
      </w:r>
    </w:p>
    <w:p>
      <w:pPr>
        <w:pStyle w:val="Normal"/>
        <w:numPr>
          <w:ilvl w:val="0"/>
          <w:numId w:val="3"/>
        </w:numPr>
        <w:rPr/>
      </w:pPr>
      <w:r>
        <w:rPr/>
        <w:t>How do you get the right talent?</w:t>
      </w:r>
    </w:p>
    <w:p>
      <w:pPr>
        <w:pStyle w:val="Normal"/>
        <w:numPr>
          <w:ilvl w:val="0"/>
          <w:numId w:val="3"/>
        </w:numPr>
        <w:rPr/>
      </w:pPr>
      <w:r>
        <w:rPr/>
        <w:t>How does management motivate Enron employees to continue striving for improved performance?</w:t>
      </w:r>
    </w:p>
    <w:p>
      <w:pPr>
        <w:pStyle w:val="Normal"/>
        <w:numPr>
          <w:ilvl w:val="0"/>
          <w:numId w:val="3"/>
        </w:numPr>
        <w:rPr/>
      </w:pPr>
      <w:r>
        <w:rPr/>
        <w:t>How does the management of Enron respond to adversity?</w:t>
      </w:r>
    </w:p>
    <w:p>
      <w:pPr>
        <w:pStyle w:val="Normal"/>
        <w:numPr>
          <w:ilvl w:val="0"/>
          <w:numId w:val="3"/>
        </w:numPr>
        <w:rPr/>
      </w:pPr>
      <w:r>
        <w:rPr/>
        <w:t>What is the role of opportunism in Enron’s business strategy?</w:t>
      </w:r>
    </w:p>
    <w:p>
      <w:pPr>
        <w:pStyle w:val="Normal"/>
        <w:numPr>
          <w:ilvl w:val="0"/>
          <w:numId w:val="3"/>
        </w:numPr>
        <w:rPr/>
      </w:pPr>
      <w:r>
        <w:rPr/>
        <w:t>How has Enron been so successful in melding the diverse cultures throughout the transformation process?</w:t>
      </w:r>
    </w:p>
    <w:p>
      <w:pPr>
        <w:pStyle w:val="Normal"/>
        <w:numPr>
          <w:ilvl w:val="0"/>
          <w:numId w:val="3"/>
        </w:numPr>
        <w:rPr/>
      </w:pPr>
      <w:r>
        <w:rPr/>
        <w:t>What can others learn from Enron’s experience or is this experience unique?</w:t>
      </w:r>
    </w:p>
    <w:p>
      <w:pPr>
        <w:pStyle w:val="Normal"/>
        <w:rPr/>
      </w:pPr>
      <w:r>
        <w:rPr/>
      </w:r>
    </w:p>
    <w:p>
      <w:pPr>
        <w:pStyle w:val="Normal"/>
        <w:rPr/>
      </w:pPr>
      <w:r>
        <w:rPr/>
        <w:t xml:space="preserve">The "harder" side of the Enron story will revolve around a documentation of the five competitive distinctives of the firm's strategy listed earlier.  Specifically, we will provide detailed discussions of the firm's company-wide risk management program, methods used to integrate real asset ownership and derivatives trading, approach to entering newly deregulated markets, methods for evaluating asset optionality, and approach to constructing a network organization.  </w:t>
      </w:r>
    </w:p>
    <w:p>
      <w:pPr>
        <w:pStyle w:val="Heading2"/>
        <w:rPr/>
      </w:pPr>
      <w:r>
        <w:rPr/>
        <w:t>HBS Cases—Enron Corporation</w:t>
      </w:r>
    </w:p>
    <w:p>
      <w:pPr>
        <w:pStyle w:val="Normal"/>
        <w:rPr/>
      </w:pPr>
      <w:r>
        <w:rPr/>
        <w:t>Sanjay Bhatnagar and Peter Tufano, 1995, Enron Gas Services, 9-294-076, Harvard Business School Publishing, Boston, MA.</w:t>
      </w:r>
    </w:p>
    <w:p>
      <w:pPr>
        <w:pStyle w:val="Normal"/>
        <w:rPr/>
      </w:pPr>
      <w:r>
        <w:rPr/>
        <w:t>Stephen Lynagh and Sanjiv R. Das, 1997, Enron Corp.—Credit sensitive notes, 9-297-099, Harvard Business School Publishing, Boston, MA.</w:t>
      </w:r>
    </w:p>
    <w:p>
      <w:pPr>
        <w:pStyle w:val="Normal"/>
        <w:rPr/>
      </w:pPr>
      <w:r>
        <w:rPr/>
        <w:t>V. Kasturi Rangan and Krishna G. Palepu, 1998, Enron development corporation: The Dibhol power project in Maharashtra, India (A), 9-596-099, Harvard Business School Publishing, Boston, MA.</w:t>
      </w:r>
    </w:p>
    <w:p>
      <w:pPr>
        <w:pStyle w:val="Normal"/>
        <w:rPr/>
      </w:pPr>
      <w:r>
        <w:rPr/>
        <w:t>V. Kasturi Rangan and Krishna G. Palepu, 1996, Enron development corporation: The Dibhol power project in Maharashtra, India (B), 9-596-100, Harvard Business School Publishing, Boston, MA.</w:t>
      </w:r>
    </w:p>
    <w:p>
      <w:pPr>
        <w:pStyle w:val="Heading2"/>
        <w:rPr/>
      </w:pPr>
      <w:r>
        <w:rPr/>
        <w:t>Risk Management Articles</w:t>
      </w:r>
    </w:p>
    <w:p>
      <w:pPr>
        <w:pStyle w:val="Normal"/>
        <w:rPr/>
      </w:pPr>
      <w:r>
        <w:rPr/>
        <w:t>Hendrik Bessembinder and Michael L. Lemmon, 1999, Pricing and gains from trade in competitive electric power markets, Arizona State University working paper (February).</w:t>
      </w:r>
    </w:p>
    <w:p>
      <w:pPr>
        <w:pStyle w:val="Normal"/>
        <w:rPr/>
      </w:pPr>
      <w:r>
        <w:rPr/>
        <w:t xml:space="preserve">Karan Bhanot, 2000, Behavior of power prices—Implications for the valuation and hedging of financial contracts, </w:t>
      </w:r>
      <w:r>
        <w:rPr>
          <w:u w:val="single"/>
        </w:rPr>
        <w:t>Journal of Risk</w:t>
      </w:r>
      <w:r>
        <w:rPr/>
        <w:t xml:space="preserve"> (Spring).</w:t>
      </w:r>
    </w:p>
    <w:p>
      <w:pPr>
        <w:pStyle w:val="Normal"/>
        <w:rPr/>
      </w:pPr>
      <w:r>
        <w:rPr/>
        <w:t>George Chacko, Peter Tufano, and Geoffrey Verter, 2000, Cephalon, Inc.—Taking risk management theory seriously, NBER working paper #7748 (</w:t>
      </w:r>
      <w:hyperlink r:id="rId2">
        <w:r>
          <w:rPr>
            <w:rStyle w:val="Hyperlink"/>
          </w:rPr>
          <w:t>http://www.nber.org/papers/w7748</w:t>
        </w:r>
      </w:hyperlink>
      <w:r>
        <w:rPr/>
        <w:t>).</w:t>
      </w:r>
    </w:p>
    <w:p>
      <w:pPr>
        <w:pStyle w:val="Normal"/>
        <w:rPr/>
      </w:pPr>
      <w:r>
        <w:rPr/>
        <w:t>Christopher C. Geczy, Bernadette A. Minton, and Catherine Schrand, 1999, Choices among alternative risk management strategies:  Evidence from the natural gas industry, University of Pennsylvania working paper (November).</w:t>
      </w:r>
    </w:p>
    <w:p>
      <w:pPr>
        <w:pStyle w:val="Normal"/>
        <w:rPr/>
      </w:pPr>
      <w:r>
        <w:rPr/>
        <w:t xml:space="preserve">Henry T. C. Hu, 1996, Behind the corporate hedge:  Information and the limits of "shareholder wealth maximization", </w:t>
      </w:r>
      <w:r>
        <w:rPr>
          <w:u w:val="single"/>
        </w:rPr>
        <w:t>Journal of Applied Corporate Finance</w:t>
      </w:r>
      <w:r>
        <w:rPr/>
        <w:t xml:space="preserve"> (Fall), 39-51.</w:t>
      </w:r>
    </w:p>
    <w:p>
      <w:pPr>
        <w:pStyle w:val="Normal"/>
        <w:rPr/>
      </w:pPr>
      <w:r>
        <w:rPr/>
        <w:t>Alberto Moel and Peter Tufano, 2000, When are real options exercised?  An empirical study of mine closings, Harvard Business School working paper, (June 21).</w:t>
      </w:r>
    </w:p>
    <w:p>
      <w:pPr>
        <w:pStyle w:val="Normal"/>
        <w:rPr/>
      </w:pPr>
      <w:r>
        <w:rPr/>
        <w:t>Shivaram Rajgopal and Morton Pincus, 1999, The interaction of accounting policy choice and hedging:  Evidence from oil and gas firms, University of Washington working paper (July).</w:t>
      </w:r>
    </w:p>
    <w:p>
      <w:pPr>
        <w:pStyle w:val="Normal"/>
        <w:rPr/>
      </w:pPr>
      <w:r>
        <w:rPr/>
        <w:t>Shivaram Rajgopal and Mohan Venkatachalam, 1999, Are earnings sensitivity measures risk-relevant?  The case of oil price risk for the petroleum refining industry, University of Washington working paper (August).</w:t>
      </w:r>
    </w:p>
    <w:p>
      <w:pPr>
        <w:pStyle w:val="Normal"/>
        <w:rPr/>
      </w:pPr>
      <w:r>
        <w:rPr/>
        <w:t xml:space="preserve">Rene M. Stulz, 1996, Rethinking risk management, </w:t>
      </w:r>
      <w:r>
        <w:rPr>
          <w:u w:val="single"/>
        </w:rPr>
        <w:t>Journal of Applied Corporate Finance</w:t>
      </w:r>
      <w:r>
        <w:rPr/>
        <w:t xml:space="preserve"> (Fall), 8-24.</w:t>
      </w:r>
    </w:p>
    <w:p>
      <w:pPr>
        <w:pStyle w:val="Normal"/>
        <w:rPr/>
      </w:pPr>
      <w:r>
        <w:rPr/>
        <w:t xml:space="preserve">Karen Hopper Wruck, 1994, Financial policy, internal control, and performance:  Sealed Air Corporation’s leveraged special dividend,” </w:t>
      </w:r>
      <w:r>
        <w:rPr>
          <w:i/>
        </w:rPr>
        <w:t>Journal of Financial Economics</w:t>
      </w:r>
      <w:r>
        <w:rPr/>
        <w:t>, vol. 36, 157-192.</w:t>
      </w:r>
    </w:p>
    <w:p>
      <w:pPr>
        <w:pStyle w:val="Heading2"/>
        <w:rPr/>
      </w:pPr>
      <w:r>
        <w:rPr/>
        <w:t>Popular Press Stories on Enron Business Activities</w:t>
      </w:r>
    </w:p>
    <w:p>
      <w:pPr>
        <w:pStyle w:val="Normal"/>
        <w:rPr/>
      </w:pPr>
      <w:r>
        <w:rPr/>
        <w:t xml:space="preserve">Peter Coy, 1999, Exploiting uncertainty:  The "real-options" revolution in decision-making, </w:t>
      </w:r>
      <w:r>
        <w:rPr>
          <w:u w:val="single"/>
        </w:rPr>
        <w:t>BusinessWeek</w:t>
      </w:r>
      <w:r>
        <w:rPr/>
        <w:t xml:space="preserve"> (June 7).</w:t>
      </w:r>
    </w:p>
    <w:p>
      <w:pPr>
        <w:pStyle w:val="Normal"/>
        <w:rPr/>
      </w:pPr>
      <w:r>
        <w:rPr/>
      </w:r>
    </w:p>
    <w:p>
      <w:pPr>
        <w:pStyle w:val="BodyText"/>
        <w:spacing w:before="120" w:after="120"/>
        <w:ind w:hanging="0" w:end="0"/>
        <w:rPr/>
      </w:pPr>
      <w:r>
        <w:rPr/>
      </w:r>
    </w:p>
    <w:sectPr>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footnoteRef/>
      </w:r>
      <w:r>
        <w:rPr/>
        <w:t xml:space="preserve"> </w:t>
      </w:r>
      <w:r>
        <w:rPr/>
        <w:t xml:space="preserve">In 1975 newly appointed CEO Kari Kairamo began the process of changing the firm's corporate focus from forest products to consumer electronics.  In 1981 Nokia acquired 51% of the Finnish telecommunications company (Telenokia) and begins manufacturing mobile phones in 1986.  Throughout this period Nokia continued to own and operate a variety of businesses including paper, television, printed circuit boards, and tires.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ber.org/papers/w7748"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2000-10-04T20:40:00Z</dcterms:created>
  <dc:creator>Casey Computer Center</dc:creator>
  <dc:description/>
  <dc:language>en-CA</dc:language>
  <cp:lastModifiedBy>Casey Computer Center</cp:lastModifiedBy>
  <cp:lastPrinted>2000-11-21T15:46:00Z</cp:lastPrinted>
  <dcterms:modified xsi:type="dcterms:W3CDTF">2000-11-22T14:57:00Z</dcterms:modified>
  <cp:revision>17</cp:revision>
  <dc:subject/>
  <dc:title>Enron Corporation Paper</dc:title>
</cp:coreProperties>
</file>