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start="-90" w:end="0"/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>Louisiana Resources/Bridgeline Holdings</w:t>
      </w:r>
    </w:p>
    <w:p>
      <w:pPr>
        <w:pStyle w:val="Normal"/>
        <w:ind w:start="-90" w:end="0"/>
        <w:rPr/>
      </w:pPr>
      <w:r>
        <w:rPr/>
      </w:r>
    </w:p>
    <w:tbl>
      <w:tblPr>
        <w:tblW w:w="10350" w:type="dxa"/>
        <w:jc w:val="start"/>
        <w:tblInd w:w="-34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330"/>
        <w:gridCol w:w="7020"/>
      </w:tblGrid>
      <w:tr>
        <w:trPr/>
        <w:tc>
          <w:tcPr>
            <w:tcW w:w="33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Assignee Entity:</w:t>
            </w:r>
          </w:p>
        </w:tc>
        <w:tc>
          <w:tcPr>
            <w:tcW w:w="7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Bridgeline Holdings, L.P  (BH)</w:t>
            </w:r>
          </w:p>
          <w:p>
            <w:pPr>
              <w:pStyle w:val="Normal"/>
              <w:numPr>
                <w:ilvl w:val="0"/>
                <w:numId w:val="5"/>
              </w:numPr>
              <w:ind w:hanging="144" w:start="162" w:end="0"/>
              <w:rPr/>
            </w:pPr>
            <w:r>
              <w:rPr/>
              <w:t xml:space="preserve">40% owned indirectly by Enron Corp. throught the Enron Partners (Lousiana Resources Company, LRCI, Inc., Louisiana Gas Marketing Company, LGMI, Inc.) </w:t>
            </w:r>
          </w:p>
          <w:p>
            <w:pPr>
              <w:pStyle w:val="Normal"/>
              <w:numPr>
                <w:ilvl w:val="0"/>
                <w:numId w:val="5"/>
              </w:numPr>
              <w:ind w:hanging="144" w:start="162" w:end="0"/>
              <w:rPr/>
            </w:pPr>
            <w:r>
              <w:rPr/>
              <w:t>60% owned by Texaco Exploration and Production Inc.</w:t>
            </w:r>
          </w:p>
        </w:tc>
      </w:tr>
      <w:tr>
        <w:trPr/>
        <w:tc>
          <w:tcPr>
            <w:tcW w:w="33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Assignor Entity:</w:t>
            </w:r>
          </w:p>
        </w:tc>
        <w:tc>
          <w:tcPr>
            <w:tcW w:w="7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Louisiana Resources Company (LR)</w:t>
            </w:r>
          </w:p>
          <w:p>
            <w:pPr>
              <w:pStyle w:val="Normal"/>
              <w:numPr>
                <w:ilvl w:val="0"/>
                <w:numId w:val="3"/>
              </w:numPr>
              <w:ind w:hanging="144" w:start="162" w:end="0"/>
              <w:rPr/>
            </w:pPr>
            <w:r>
              <w:rPr/>
              <w:t>100% owned indirectly by Enron North America Corp.</w:t>
            </w:r>
          </w:p>
          <w:p>
            <w:pPr>
              <w:pStyle w:val="Normal"/>
              <w:numPr>
                <w:ilvl w:val="0"/>
                <w:numId w:val="3"/>
              </w:numPr>
              <w:ind w:hanging="144" w:start="162" w:end="0"/>
              <w:rPr/>
            </w:pPr>
            <w:r>
              <w:rPr/>
              <w:t>Enron North America Corp. 100% owned by Enron Corp.</w:t>
            </w:r>
          </w:p>
        </w:tc>
      </w:tr>
      <w:tr>
        <w:trPr/>
        <w:tc>
          <w:tcPr>
            <w:tcW w:w="33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Transaction Date:</w:t>
            </w:r>
          </w:p>
        </w:tc>
        <w:tc>
          <w:tcPr>
            <w:tcW w:w="7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 </w:t>
            </w:r>
            <w:r>
              <w:rPr/>
              <w:t>February 3, 2000</w:t>
            </w:r>
          </w:p>
        </w:tc>
      </w:tr>
      <w:tr>
        <w:trPr/>
        <w:tc>
          <w:tcPr>
            <w:tcW w:w="33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Transaction Summary:</w:t>
              <w:tab/>
            </w:r>
          </w:p>
        </w:tc>
        <w:tc>
          <w:tcPr>
            <w:tcW w:w="7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The assets of LR were not sold to Bridgeline Holdings, L.P.  Rather, they were contributed to the formation of the BH Limited Partnership in consideration for Enron's 40% equity stake and 50% control of BH.  Texaco Exploration and Production Inc. owns the other 60% of BH.  BH is governed by a 4 member management committee with Enron and Texaco each having two members.</w:t>
            </w:r>
          </w:p>
        </w:tc>
      </w:tr>
      <w:tr>
        <w:trPr/>
        <w:tc>
          <w:tcPr>
            <w:tcW w:w="33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FCC Approval obtained:</w:t>
            </w:r>
          </w:p>
        </w:tc>
        <w:tc>
          <w:tcPr>
            <w:tcW w:w="7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No</w:t>
            </w:r>
          </w:p>
        </w:tc>
      </w:tr>
      <w:tr>
        <w:trPr/>
        <w:tc>
          <w:tcPr>
            <w:tcW w:w="33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Affected licenses:</w:t>
              <w:tab/>
            </w:r>
          </w:p>
        </w:tc>
        <w:tc>
          <w:tcPr>
            <w:tcW w:w="7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WNTL883 (MG)</w:t>
            </w:r>
          </w:p>
          <w:p>
            <w:pPr>
              <w:pStyle w:val="Normal"/>
              <w:rPr/>
            </w:pPr>
            <w:r>
              <w:rPr/>
              <w:t>WNTL884 (MG)</w:t>
            </w:r>
          </w:p>
          <w:p>
            <w:pPr>
              <w:pStyle w:val="Normal"/>
              <w:rPr/>
            </w:pPr>
            <w:r>
              <w:rPr/>
              <w:t>KCY598 (IG)</w:t>
            </w:r>
          </w:p>
          <w:p>
            <w:pPr>
              <w:pStyle w:val="Normal"/>
              <w:rPr/>
            </w:pPr>
            <w:r>
              <w:rPr/>
              <w:t>WPME434 (IG)</w:t>
            </w:r>
          </w:p>
        </w:tc>
      </w:tr>
      <w:tr>
        <w:trPr/>
        <w:tc>
          <w:tcPr>
            <w:tcW w:w="33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Application(s) to be filed:</w:t>
            </w:r>
          </w:p>
        </w:tc>
        <w:tc>
          <w:tcPr>
            <w:tcW w:w="7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4"/>
              </w:numPr>
              <w:ind w:hanging="144" w:start="162" w:end="0"/>
              <w:rPr/>
            </w:pPr>
            <w:r>
              <w:rPr/>
              <w:t>Pro forma assignment for all 4 licenses, nunc pro tunc to February 3, 2000.</w:t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33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Tax Identification Number:</w:t>
            </w:r>
          </w:p>
        </w:tc>
        <w:tc>
          <w:tcPr>
            <w:tcW w:w="7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144" w:start="162" w:end="0"/>
              <w:rPr/>
            </w:pPr>
            <w:r>
              <w:rPr/>
              <w:t xml:space="preserve">Bridgeline Holdings, LP: </w:t>
            </w:r>
            <w:r>
              <w:rPr>
                <w:b/>
              </w:rPr>
              <w:t>[PLEASE PROVIDE]</w:t>
            </w:r>
          </w:p>
          <w:p>
            <w:pPr>
              <w:pStyle w:val="Normal"/>
              <w:numPr>
                <w:ilvl w:val="0"/>
                <w:numId w:val="2"/>
              </w:numPr>
              <w:ind w:hanging="144" w:start="162" w:end="0"/>
              <w:rPr/>
            </w:pPr>
            <w:r>
              <w:rPr/>
              <w:t>Louisiana Resources Company: 73-0966930</w:t>
            </w:r>
          </w:p>
        </w:tc>
      </w:tr>
      <w:tr>
        <w:trPr/>
        <w:tc>
          <w:tcPr>
            <w:tcW w:w="33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Signatories:</w:t>
            </w:r>
          </w:p>
        </w:tc>
        <w:tc>
          <w:tcPr>
            <w:tcW w:w="7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Bridgeline Holdings, LP:  Robert D. Morgan (713-345-6374), Robert.D.Morgan@enron.com, </w:t>
            </w:r>
            <w:r>
              <w:rPr>
                <w:b/>
              </w:rPr>
              <w:t>[FAX No.]</w:t>
            </w:r>
          </w:p>
          <w:p>
            <w:pPr>
              <w:pStyle w:val="Normal"/>
              <w:rPr/>
            </w:pPr>
            <w:r>
              <w:rPr/>
              <w:t>Louisiana Resources Company: Jean Mrha, (contact via Gerald Nemec) Gerald.Nemec@enron.com,</w:t>
            </w:r>
            <w:r>
              <w:rPr>
                <w:bCs/>
              </w:rPr>
              <w:t xml:space="preserve"> (713) 646-3490</w:t>
            </w:r>
          </w:p>
        </w:tc>
      </w:tr>
      <w:tr>
        <w:trPr/>
        <w:tc>
          <w:tcPr>
            <w:tcW w:w="33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Contact/General Counsel:</w:t>
            </w:r>
          </w:p>
        </w:tc>
        <w:tc>
          <w:tcPr>
            <w:tcW w:w="7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Gerald Nemec</w:t>
            </w:r>
          </w:p>
        </w:tc>
      </w:tr>
      <w:tr>
        <w:trPr/>
        <w:tc>
          <w:tcPr>
            <w:tcW w:w="33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Comments:</w:t>
            </w:r>
          </w:p>
        </w:tc>
        <w:tc>
          <w:tcPr>
            <w:tcW w:w="7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Aileen is checking with Jim Freeman re: TOC or assignment.  Since the assignment and the transfer happened simultaneously.</w:t>
            </w:r>
          </w:p>
        </w:tc>
      </w:tr>
    </w:tbl>
    <w:p>
      <w:pPr>
        <w:pStyle w:val="Normal"/>
        <w:ind w:start="-90" w:end="0"/>
        <w:rPr/>
      </w:pPr>
      <w:r>
        <w:rPr/>
      </w:r>
    </w:p>
    <w:sectPr>
      <w:type w:val="nextPage"/>
      <w:pgSz w:w="12240" w:h="15840"/>
      <w:pgMar w:left="1440" w:right="1440" w:gutter="0" w:header="0" w:top="630" w:footer="0" w:bottom="99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216"/>
        </w:tabs>
        <w:ind w:start="0" w:hanging="144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216"/>
        </w:tabs>
        <w:ind w:start="0" w:hanging="144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216"/>
        </w:tabs>
        <w:ind w:start="0" w:hanging="144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216"/>
        </w:tabs>
        <w:ind w:start="0" w:hanging="144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75"/>
  <w:revisionView w:insDel="0" w:formatting="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bidi="ar-SA" w:eastAsia="zh-CN"/>
    </w:rPr>
  </w:style>
  <w:style w:type="paragraph" w:styleId="Heading1">
    <w:name w:val="heading 1"/>
    <w:basedOn w:val="Normal"/>
    <w:next w:val="BodyText"/>
    <w:qFormat/>
    <w:pPr>
      <w:keepNext w:val="true"/>
      <w:keepLines/>
      <w:numPr>
        <w:ilvl w:val="0"/>
        <w:numId w:val="1"/>
      </w:numPr>
      <w:spacing w:lineRule="exact" w:line="240" w:before="240" w:after="0"/>
      <w:ind w:hanging="0" w:start="0" w:end="720"/>
      <w:outlineLvl w:val="0"/>
    </w:pPr>
    <w:rPr>
      <w:b/>
      <w:caps/>
    </w:rPr>
  </w:style>
  <w:style w:type="paragraph" w:styleId="Heading2">
    <w:name w:val="heading 2"/>
    <w:basedOn w:val="Normal"/>
    <w:next w:val="BodyText"/>
    <w:qFormat/>
    <w:pPr>
      <w:keepNext w:val="true"/>
      <w:keepLines/>
      <w:numPr>
        <w:ilvl w:val="1"/>
        <w:numId w:val="1"/>
      </w:numPr>
      <w:spacing w:lineRule="exact" w:line="240" w:before="240" w:after="0"/>
      <w:ind w:hanging="0" w:start="0" w:end="720"/>
      <w:outlineLvl w:val="1"/>
    </w:pPr>
    <w:rPr>
      <w:b/>
    </w:rPr>
  </w:style>
  <w:style w:type="paragraph" w:styleId="Heading3">
    <w:name w:val="heading 3"/>
    <w:basedOn w:val="Normal"/>
    <w:next w:val="BodyText"/>
    <w:qFormat/>
    <w:pPr>
      <w:keepNext w:val="true"/>
      <w:keepLines/>
      <w:numPr>
        <w:ilvl w:val="2"/>
        <w:numId w:val="1"/>
      </w:numPr>
      <w:spacing w:lineRule="exact" w:line="240" w:before="240" w:after="0"/>
      <w:ind w:hanging="0" w:start="0" w:end="720"/>
      <w:outlineLvl w:val="2"/>
    </w:pPr>
    <w:rPr/>
  </w:style>
  <w:style w:type="paragraph" w:styleId="Heading4">
    <w:name w:val="heading 4"/>
    <w:basedOn w:val="Normal"/>
    <w:next w:val="BodyText"/>
    <w:qFormat/>
    <w:pPr>
      <w:keepNext w:val="true"/>
      <w:keepLines/>
      <w:numPr>
        <w:ilvl w:val="3"/>
        <w:numId w:val="1"/>
      </w:numPr>
      <w:spacing w:lineRule="exact" w:line="240" w:before="240" w:after="0"/>
      <w:ind w:hanging="0" w:start="0" w:end="720"/>
      <w:outlineLvl w:val="3"/>
    </w:pPr>
    <w:rPr/>
  </w:style>
  <w:style w:type="paragraph" w:styleId="Heading5">
    <w:name w:val="heading 5"/>
    <w:basedOn w:val="Normal"/>
    <w:next w:val="BodyText"/>
    <w:qFormat/>
    <w:pPr>
      <w:keepNext w:val="true"/>
      <w:keepLines/>
      <w:numPr>
        <w:ilvl w:val="4"/>
        <w:numId w:val="1"/>
      </w:numPr>
      <w:spacing w:lineRule="exact" w:line="240" w:before="240" w:after="0"/>
      <w:ind w:hanging="0" w:start="0" w:end="720"/>
      <w:outlineLvl w:val="4"/>
    </w:pPr>
    <w:rPr/>
  </w:style>
  <w:style w:type="paragraph" w:styleId="Heading6">
    <w:name w:val="heading 6"/>
    <w:basedOn w:val="Normal"/>
    <w:next w:val="BodyText"/>
    <w:qFormat/>
    <w:pPr>
      <w:keepNext w:val="true"/>
      <w:keepLines/>
      <w:numPr>
        <w:ilvl w:val="5"/>
        <w:numId w:val="1"/>
      </w:numPr>
      <w:spacing w:lineRule="exact" w:line="240" w:before="240" w:after="0"/>
      <w:ind w:hanging="0" w:start="0" w:end="720"/>
      <w:outlineLvl w:val="5"/>
    </w:pPr>
    <w:rPr/>
  </w:style>
  <w:style w:type="paragraph" w:styleId="Heading7">
    <w:name w:val="heading 7"/>
    <w:basedOn w:val="Normal"/>
    <w:next w:val="BodyText"/>
    <w:qFormat/>
    <w:pPr>
      <w:keepNext w:val="true"/>
      <w:keepLines/>
      <w:numPr>
        <w:ilvl w:val="6"/>
        <w:numId w:val="1"/>
      </w:numPr>
      <w:spacing w:lineRule="exact" w:line="240" w:before="240" w:after="0"/>
      <w:ind w:hanging="0" w:start="0" w:end="720"/>
      <w:outlineLvl w:val="6"/>
    </w:pPr>
    <w:rPr/>
  </w:style>
  <w:style w:type="paragraph" w:styleId="Heading8">
    <w:name w:val="heading 8"/>
    <w:basedOn w:val="Normal"/>
    <w:next w:val="BodyText"/>
    <w:qFormat/>
    <w:pPr>
      <w:keepNext w:val="true"/>
      <w:keepLines/>
      <w:numPr>
        <w:ilvl w:val="7"/>
        <w:numId w:val="1"/>
      </w:numPr>
      <w:spacing w:lineRule="exact" w:line="240" w:before="240" w:after="0"/>
      <w:ind w:hanging="0" w:start="0" w:end="720"/>
      <w:outlineLvl w:val="7"/>
    </w:pPr>
    <w:rPr/>
  </w:style>
  <w:style w:type="paragraph" w:styleId="Heading9">
    <w:name w:val="heading 9"/>
    <w:basedOn w:val="Normal"/>
    <w:next w:val="BodyText"/>
    <w:qFormat/>
    <w:pPr>
      <w:keepNext w:val="true"/>
      <w:keepLines/>
      <w:numPr>
        <w:ilvl w:val="8"/>
        <w:numId w:val="1"/>
      </w:numPr>
      <w:spacing w:lineRule="exact" w:line="240" w:before="240" w:after="0"/>
      <w:ind w:hanging="0" w:start="0" w:end="720"/>
      <w:outlineLvl w:val="8"/>
    </w:pPr>
    <w:rPr/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1z0">
    <w:name w:val="WW8Num11z0"/>
    <w:qFormat/>
    <w:rPr>
      <w:b/>
      <w:i w:val="false"/>
      <w:u w:val="none"/>
    </w:rPr>
  </w:style>
  <w:style w:type="character" w:styleId="WW8Num11z2">
    <w:name w:val="WW8Num11z2"/>
    <w:qFormat/>
    <w:rPr>
      <w:b w:val="false"/>
      <w:u w:val="none"/>
    </w:rPr>
  </w:style>
  <w:style w:type="character" w:styleId="WW8Num12z0">
    <w:name w:val="WW8Num12z0"/>
    <w:qFormat/>
    <w:rPr>
      <w:rFonts w:ascii="Symbol" w:hAnsi="Symbol" w:cs="Symbol"/>
    </w:rPr>
  </w:style>
  <w:style w:type="character" w:styleId="WW8Num13z0">
    <w:name w:val="WW8Num13z0"/>
    <w:qFormat/>
    <w:rPr>
      <w:rFonts w:ascii="Symbol" w:hAnsi="Symbol" w:cs="Symbol"/>
    </w:rPr>
  </w:style>
  <w:style w:type="character" w:styleId="WW8Num14z0">
    <w:name w:val="WW8Num14z0"/>
    <w:qFormat/>
    <w:rPr>
      <w:rFonts w:ascii="Symbol" w:hAnsi="Symbol" w:cs="Symbol"/>
    </w:rPr>
  </w:style>
  <w:style w:type="character" w:styleId="WW8Num15z0">
    <w:name w:val="WW8Num15z0"/>
    <w:qFormat/>
    <w:rPr>
      <w:rFonts w:ascii="Symbol" w:hAnsi="Symbol" w:cs="Symbol"/>
    </w:rPr>
  </w:style>
  <w:style w:type="character" w:styleId="WW8Num16z0">
    <w:name w:val="WW8Num16z0"/>
    <w:qFormat/>
    <w:rPr>
      <w:rFonts w:ascii="Symbol" w:hAnsi="Symbol" w:cs="Symbol"/>
    </w:rPr>
  </w:style>
  <w:style w:type="character" w:styleId="WW8Num17z0">
    <w:name w:val="WW8Num17z0"/>
    <w:qFormat/>
    <w:rPr>
      <w:rFonts w:ascii="Symbol" w:hAnsi="Symbol" w:cs="Symbol"/>
    </w:rPr>
  </w:style>
  <w:style w:type="character" w:styleId="WW8Num19z0">
    <w:name w:val="WW8Num19z0"/>
    <w:qFormat/>
    <w:rPr>
      <w:rFonts w:ascii="Symbol" w:hAnsi="Symbol" w:cs="Symbol"/>
    </w:rPr>
  </w:style>
  <w:style w:type="character" w:styleId="WW8Num20z0">
    <w:name w:val="WW8Num20z0"/>
    <w:qFormat/>
    <w:rPr>
      <w:rFonts w:ascii="Symbol" w:hAnsi="Symbol" w:cs="Symbol"/>
    </w:rPr>
  </w:style>
  <w:style w:type="character" w:styleId="WW8Num21z0">
    <w:name w:val="WW8Num21z0"/>
    <w:qFormat/>
    <w:rPr>
      <w:rFonts w:ascii="Symbol" w:hAnsi="Symbol" w:cs="Symbol"/>
    </w:rPr>
  </w:style>
  <w:style w:type="character" w:styleId="WW8Num22z0">
    <w:name w:val="WW8Num22z0"/>
    <w:qFormat/>
    <w:rPr/>
  </w:style>
  <w:style w:type="character" w:styleId="WW8Num23z0">
    <w:name w:val="WW8Num23z0"/>
    <w:qFormat/>
    <w:rPr>
      <w:rFonts w:ascii="Symbol" w:hAnsi="Symbol" w:cs="Symbol"/>
    </w:rPr>
  </w:style>
  <w:style w:type="character" w:styleId="WW8Num24z0">
    <w:name w:val="WW8Num24z0"/>
    <w:qFormat/>
    <w:rPr>
      <w:rFonts w:ascii="Symbol" w:hAnsi="Symbol" w:cs="Symbol"/>
    </w:rPr>
  </w:style>
  <w:style w:type="character" w:styleId="WW8Num25z0">
    <w:name w:val="WW8Num25z0"/>
    <w:qFormat/>
    <w:rPr>
      <w:rFonts w:ascii="Symbol" w:hAnsi="Symbol" w:cs="Symbol"/>
    </w:rPr>
  </w:style>
  <w:style w:type="character" w:styleId="WW8Num28z0">
    <w:name w:val="WW8Num28z0"/>
    <w:qFormat/>
    <w:rPr>
      <w:rFonts w:ascii="Symbol" w:hAnsi="Symbol" w:cs="Symbol"/>
    </w:rPr>
  </w:style>
  <w:style w:type="character" w:styleId="WW8Num29z0">
    <w:name w:val="WW8Num29z0"/>
    <w:qFormat/>
    <w:rPr>
      <w:rFonts w:ascii="Symbol" w:hAnsi="Symbol" w:cs="Symbol"/>
    </w:rPr>
  </w:style>
  <w:style w:type="character" w:styleId="WW8Num30z0">
    <w:name w:val="WW8Num30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>
      <w:sz w:val="24"/>
    </w:rPr>
  </w:style>
  <w:style w:type="character" w:styleId="LineNumber">
    <w:name w:val="line number"/>
    <w:basedOn w:val="DefaultParagraphFont"/>
    <w:rPr/>
  </w:style>
  <w:style w:type="character" w:styleId="FootnoteCharacters">
    <w:name w:val="Footnote Characters"/>
    <w:basedOn w:val="DefaultParagraphFont"/>
    <w:qFormat/>
    <w:rPr>
      <w:vertAlign w:val="superscript"/>
    </w:rPr>
  </w:style>
  <w:style w:type="character" w:styleId="ParagraphNumber">
    <w:name w:val="ParagraphNumber"/>
    <w:basedOn w:val="DefaultParagraphFont"/>
    <w:qFormat/>
    <w:rPr/>
  </w:style>
  <w:style w:type="character" w:styleId="zzmpTrailerItem">
    <w:name w:val="zzmpTrailerItem"/>
    <w:basedOn w:val="DefaultParagraphFont"/>
    <w:qFormat/>
    <w:rPr>
      <w:rFonts w:ascii="Times New Roman" w:hAnsi="Times New Roman" w:cs="Times New Roman"/>
      <w:b w:val="false"/>
      <w:i w:val="false"/>
      <w:caps w:val="false"/>
      <w:smallCaps w:val="false"/>
      <w:strike w:val="false"/>
      <w:dstrike w:val="false"/>
      <w:outline w:val="false"/>
      <w:shadow w:val="false"/>
      <w:emboss/>
      <w:vanish w:val="false"/>
      <w:spacing w:val="0"/>
      <w:w w:val="100"/>
      <w:position w:val="0"/>
      <w:sz w:val="16"/>
      <w:sz w:val="16"/>
      <w:u w:val="none"/>
      <w:effect w:val="blinkBackground"/>
      <w:vertAlign w:val="baseline"/>
      <w:lang w:val="en-CA" w:eastAsia="en-CA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480"/>
      <w:ind w:firstLine="1440" w:start="0" w:end="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680" w:leader="none"/>
        <w:tab w:val="right" w:pos="9360" w:leader="none"/>
      </w:tabs>
      <w:spacing w:lineRule="atLeast" w:line="240"/>
    </w:pPr>
    <w:rPr>
      <w:sz w:val="20"/>
    </w:rPr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9360" w:leader="none"/>
      </w:tabs>
    </w:pPr>
    <w:rPr/>
  </w:style>
  <w:style w:type="paragraph" w:styleId="BodyTextIndent">
    <w:name w:val="Body Text Indent"/>
    <w:basedOn w:val="BodyText"/>
    <w:next w:val="BodyText"/>
    <w:pPr>
      <w:spacing w:lineRule="auto" w:line="240"/>
      <w:ind w:hanging="0" w:start="720" w:end="0"/>
    </w:pPr>
    <w:rPr/>
  </w:style>
  <w:style w:type="paragraph" w:styleId="BodyTextContinued">
    <w:name w:val="Body Text Continued"/>
    <w:basedOn w:val="BodyText"/>
    <w:next w:val="BodyText"/>
    <w:qFormat/>
    <w:pPr>
      <w:ind w:hanging="0" w:start="0" w:end="0"/>
    </w:pPr>
    <w:rPr/>
  </w:style>
  <w:style w:type="paragraph" w:styleId="Centered">
    <w:name w:val="Centered"/>
    <w:basedOn w:val="Normal"/>
    <w:next w:val="BodyText"/>
    <w:qFormat/>
    <w:pPr>
      <w:spacing w:lineRule="exact" w:line="240" w:before="0" w:after="240"/>
      <w:jc w:val="center"/>
    </w:pPr>
    <w:rPr/>
  </w:style>
  <w:style w:type="paragraph" w:styleId="FootnoteText">
    <w:name w:val="footnote text"/>
    <w:basedOn w:val="Normal"/>
    <w:pPr>
      <w:spacing w:lineRule="exact" w:line="240" w:before="0" w:after="120"/>
      <w:ind w:hanging="720" w:start="720" w:end="0"/>
    </w:pPr>
    <w:rPr/>
  </w:style>
  <w:style w:type="paragraph" w:styleId="HeaderNumbers">
    <w:name w:val="HeaderNumbers"/>
    <w:basedOn w:val="Normal"/>
    <w:qFormat/>
    <w:pPr>
      <w:spacing w:lineRule="exact" w:line="480" w:before="720" w:after="0"/>
      <w:ind w:hanging="0" w:start="0" w:end="144"/>
      <w:jc w:val="end"/>
    </w:pPr>
    <w:rPr/>
  </w:style>
  <w:style w:type="paragraph" w:styleId="LetterClosing">
    <w:name w:val="LetterClosing"/>
    <w:basedOn w:val="Normal"/>
    <w:next w:val="Normal"/>
    <w:qFormat/>
    <w:pPr/>
    <w:rPr/>
  </w:style>
  <w:style w:type="paragraph" w:styleId="MacroText">
    <w:name w:val="Macro Text"/>
    <w:qFormat/>
    <w:pPr>
      <w:widowControl/>
      <w:tabs>
        <w:tab w:val="clear" w:pos="720"/>
        <w:tab w:val="left" w:pos="480" w:leader="none"/>
        <w:tab w:val="left" w:pos="960" w:leader="none"/>
        <w:tab w:val="left" w:pos="1440" w:leader="none"/>
        <w:tab w:val="left" w:pos="1920" w:leader="none"/>
        <w:tab w:val="left" w:pos="2400" w:leader="none"/>
        <w:tab w:val="left" w:pos="2880" w:leader="none"/>
        <w:tab w:val="left" w:pos="3360" w:leader="none"/>
        <w:tab w:val="left" w:pos="3840" w:leader="none"/>
        <w:tab w:val="left" w:pos="4320" w:leader="none"/>
      </w:tabs>
      <w:bidi w:val="0"/>
    </w:pPr>
    <w:rPr>
      <w:rFonts w:ascii="Times New Roman" w:hAnsi="Times New Roman" w:eastAsia="Times New Roman" w:cs="Times New Roman"/>
      <w:color w:val="auto"/>
      <w:sz w:val="18"/>
      <w:szCs w:val="20"/>
      <w:lang w:val="en-US" w:bidi="ar-SA" w:eastAsia="zh-CN"/>
    </w:rPr>
  </w:style>
  <w:style w:type="paragraph" w:styleId="NormalIndent">
    <w:name w:val="Normal Indent"/>
    <w:basedOn w:val="Normal"/>
    <w:qFormat/>
    <w:pPr>
      <w:widowControl w:val="false"/>
      <w:spacing w:lineRule="exact" w:line="240"/>
      <w:ind w:hanging="0" w:start="720" w:end="720"/>
    </w:pPr>
    <w:rPr/>
  </w:style>
  <w:style w:type="paragraph" w:styleId="PleadingSignature">
    <w:name w:val="Pleading Signature"/>
    <w:basedOn w:val="Normal"/>
    <w:qFormat/>
    <w:pPr>
      <w:keepNext w:val="true"/>
      <w:keepLines/>
      <w:widowControl w:val="false"/>
      <w:tabs>
        <w:tab w:val="clear" w:pos="720"/>
        <w:tab w:val="left" w:pos="5040" w:leader="none"/>
        <w:tab w:val="right" w:pos="9360" w:leader="none"/>
      </w:tabs>
      <w:spacing w:lineRule="exact" w:line="240"/>
      <w:ind w:hanging="0" w:start="4680" w:end="0"/>
    </w:pPr>
    <w:rPr/>
  </w:style>
  <w:style w:type="paragraph" w:styleId="EnvelopeAddress">
    <w:name w:val="envelope address"/>
    <w:basedOn w:val="Normal"/>
    <w:pPr/>
    <w:rPr/>
  </w:style>
  <w:style w:type="paragraph" w:styleId="LetterDate">
    <w:name w:val="Letter Date"/>
    <w:basedOn w:val="Normal"/>
    <w:next w:val="BodyText"/>
    <w:qFormat/>
    <w:pPr/>
    <w:rPr/>
  </w:style>
  <w:style w:type="paragraph" w:styleId="LeftHeading">
    <w:name w:val="Left Heading"/>
    <w:basedOn w:val="Normal"/>
    <w:next w:val="Normal"/>
    <w:qFormat/>
    <w:pPr/>
    <w:rPr>
      <w:b/>
    </w:rPr>
  </w:style>
  <w:style w:type="paragraph" w:styleId="TableofAuthorities">
    <w:name w:val="Table of Authorities"/>
    <w:basedOn w:val="Normal"/>
    <w:next w:val="Normal"/>
    <w:qFormat/>
    <w:pPr>
      <w:widowControl w:val="false"/>
      <w:tabs>
        <w:tab w:val="clear" w:pos="720"/>
        <w:tab w:val="right" w:pos="9216" w:leader="dot"/>
      </w:tabs>
      <w:spacing w:lineRule="exact" w:line="240" w:before="0" w:after="120"/>
      <w:ind w:hanging="360" w:start="360" w:end="1440"/>
    </w:pPr>
    <w:rPr/>
  </w:style>
  <w:style w:type="paragraph" w:styleId="TOAHeading">
    <w:name w:val="TOA Heading"/>
    <w:basedOn w:val="Normal"/>
    <w:next w:val="TableofAuthorities"/>
    <w:qFormat/>
    <w:pPr>
      <w:keepNext w:val="true"/>
      <w:widowControl w:val="false"/>
      <w:spacing w:lineRule="exact" w:line="240" w:before="120" w:after="120"/>
      <w:jc w:val="center"/>
    </w:pPr>
    <w:rPr>
      <w:b/>
      <w:caps/>
    </w:rPr>
  </w:style>
  <w:style w:type="paragraph" w:styleId="TOC1">
    <w:name w:val="toc 1"/>
    <w:basedOn w:val="Normal"/>
    <w:next w:val="TOC2"/>
    <w:pPr>
      <w:keepLines/>
      <w:tabs>
        <w:tab w:val="clear" w:pos="720"/>
        <w:tab w:val="right" w:pos="9288" w:leader="dot"/>
      </w:tabs>
      <w:ind w:hanging="720" w:start="720" w:end="720"/>
    </w:pPr>
    <w:rPr/>
  </w:style>
  <w:style w:type="paragraph" w:styleId="TOC2">
    <w:name w:val="toc 2"/>
    <w:basedOn w:val="Normal"/>
    <w:next w:val="TOC3"/>
    <w:pPr>
      <w:keepLines/>
      <w:tabs>
        <w:tab w:val="clear" w:pos="720"/>
        <w:tab w:val="right" w:pos="9288" w:leader="dot"/>
      </w:tabs>
      <w:ind w:hanging="720" w:start="1440" w:end="720"/>
    </w:pPr>
    <w:rPr/>
  </w:style>
  <w:style w:type="paragraph" w:styleId="TOC3">
    <w:name w:val="toc 3"/>
    <w:basedOn w:val="Normal"/>
    <w:next w:val="TOC4"/>
    <w:pPr>
      <w:keepLines/>
      <w:tabs>
        <w:tab w:val="clear" w:pos="720"/>
        <w:tab w:val="right" w:pos="9288" w:leader="dot"/>
      </w:tabs>
      <w:ind w:hanging="720" w:start="2160" w:end="720"/>
    </w:pPr>
    <w:rPr/>
  </w:style>
  <w:style w:type="paragraph" w:styleId="TOC4">
    <w:name w:val="toc 4"/>
    <w:basedOn w:val="Normal"/>
    <w:next w:val="TOC5"/>
    <w:pPr>
      <w:keepLines/>
      <w:tabs>
        <w:tab w:val="clear" w:pos="720"/>
        <w:tab w:val="right" w:pos="9288" w:leader="dot"/>
      </w:tabs>
      <w:ind w:hanging="720" w:start="2880" w:end="720"/>
    </w:pPr>
    <w:rPr/>
  </w:style>
  <w:style w:type="paragraph" w:styleId="TOC5">
    <w:name w:val="toc 5"/>
    <w:basedOn w:val="Normal"/>
    <w:next w:val="TOC6"/>
    <w:pPr>
      <w:keepLines/>
      <w:tabs>
        <w:tab w:val="clear" w:pos="720"/>
        <w:tab w:val="right" w:pos="9288" w:leader="dot"/>
      </w:tabs>
      <w:ind w:hanging="720" w:start="3600" w:end="720"/>
    </w:pPr>
    <w:rPr/>
  </w:style>
  <w:style w:type="paragraph" w:styleId="TOC6">
    <w:name w:val="toc 6"/>
    <w:basedOn w:val="Normal"/>
    <w:next w:val="TOC7"/>
    <w:pPr>
      <w:keepLines/>
      <w:tabs>
        <w:tab w:val="clear" w:pos="720"/>
        <w:tab w:val="right" w:pos="9288" w:leader="dot"/>
      </w:tabs>
      <w:ind w:hanging="720" w:start="4320" w:end="720"/>
    </w:pPr>
    <w:rPr/>
  </w:style>
  <w:style w:type="paragraph" w:styleId="TOC7">
    <w:name w:val="toc 7"/>
    <w:basedOn w:val="Normal"/>
    <w:next w:val="TOC8"/>
    <w:pPr>
      <w:keepLines/>
      <w:tabs>
        <w:tab w:val="clear" w:pos="720"/>
        <w:tab w:val="right" w:pos="9288" w:leader="dot"/>
      </w:tabs>
      <w:ind w:hanging="720" w:start="5040" w:end="720"/>
    </w:pPr>
    <w:rPr/>
  </w:style>
  <w:style w:type="paragraph" w:styleId="TOC8">
    <w:name w:val="toc 8"/>
    <w:basedOn w:val="Normal"/>
    <w:next w:val="TOC9"/>
    <w:pPr>
      <w:keepLines/>
      <w:tabs>
        <w:tab w:val="clear" w:pos="720"/>
        <w:tab w:val="right" w:pos="9288" w:leader="dot"/>
      </w:tabs>
      <w:ind w:hanging="720" w:start="5760" w:end="720"/>
    </w:pPr>
    <w:rPr/>
  </w:style>
  <w:style w:type="paragraph" w:styleId="TOC9">
    <w:name w:val="toc 9"/>
    <w:basedOn w:val="Normal"/>
    <w:pPr>
      <w:keepLines/>
      <w:tabs>
        <w:tab w:val="clear" w:pos="720"/>
        <w:tab w:val="right" w:pos="9288" w:leader="dot"/>
      </w:tabs>
      <w:ind w:hanging="720" w:start="6480" w:end="720"/>
    </w:pPr>
    <w:rPr/>
  </w:style>
  <w:style w:type="paragraph" w:styleId="DeliveryPhrase">
    <w:name w:val="Delivery Phrase"/>
    <w:basedOn w:val="Normal"/>
    <w:next w:val="Normal"/>
    <w:qFormat/>
    <w:pPr>
      <w:spacing w:before="240" w:after="0"/>
    </w:pPr>
    <w:rPr>
      <w:b/>
      <w:caps/>
    </w:rPr>
  </w:style>
  <w:style w:type="paragraph" w:styleId="SDP">
    <w:name w:val="SDP"/>
    <w:basedOn w:val="Normal"/>
    <w:next w:val="Normal"/>
    <w:qFormat/>
    <w:pPr>
      <w:spacing w:before="240" w:after="0"/>
    </w:pPr>
    <w:rPr>
      <w:b/>
      <w:caps/>
    </w:rPr>
  </w:style>
  <w:style w:type="paragraph" w:styleId="Quote">
    <w:name w:val="Quote"/>
    <w:basedOn w:val="Normal"/>
    <w:next w:val="BodyTextContinued"/>
    <w:qFormat/>
    <w:pPr>
      <w:spacing w:before="0" w:after="240"/>
      <w:ind w:hanging="0" w:start="1440" w:end="1440"/>
    </w:pPr>
    <w:rPr/>
  </w:style>
  <w:style w:type="paragraph" w:styleId="EnvelopeBilling">
    <w:name w:val="Envelope Billing"/>
    <w:basedOn w:val="Normal"/>
    <w:qFormat/>
    <w:pPr/>
    <w:rPr>
      <w:sz w:val="18"/>
    </w:rPr>
  </w:style>
  <w:style w:type="paragraph" w:styleId="Heading1Para">
    <w:name w:val="Heading1Para"/>
    <w:basedOn w:val="BodyText"/>
    <w:next w:val="BodyText"/>
    <w:qFormat/>
    <w:pPr>
      <w:spacing w:lineRule="auto" w:line="240" w:before="0" w:after="240"/>
      <w:ind w:hanging="0" w:start="0" w:end="0"/>
      <w:jc w:val="center"/>
    </w:pPr>
    <w:rPr/>
  </w:style>
  <w:style w:type="paragraph" w:styleId="Heading2Para">
    <w:name w:val="Heading2Para"/>
    <w:basedOn w:val="BodyText"/>
    <w:next w:val="BodyText"/>
    <w:qFormat/>
    <w:pPr>
      <w:spacing w:lineRule="auto" w:line="240" w:before="0" w:after="240"/>
      <w:ind w:hanging="0" w:start="0" w:end="0"/>
    </w:pPr>
    <w:rPr/>
  </w:style>
  <w:style w:type="paragraph" w:styleId="Heading3Para">
    <w:name w:val="Heading3Para"/>
    <w:basedOn w:val="BodyText"/>
    <w:next w:val="BodyText"/>
    <w:qFormat/>
    <w:pPr>
      <w:spacing w:lineRule="auto" w:line="240" w:before="0" w:after="240"/>
    </w:pPr>
    <w:rPr/>
  </w:style>
  <w:style w:type="paragraph" w:styleId="Heading4Para">
    <w:name w:val="Heading4Para"/>
    <w:basedOn w:val="BodyText"/>
    <w:next w:val="BodyText"/>
    <w:qFormat/>
    <w:pPr>
      <w:spacing w:lineRule="auto" w:line="240" w:before="0" w:after="240"/>
      <w:ind w:firstLine="2160" w:start="0" w:end="0"/>
    </w:pPr>
    <w:rPr/>
  </w:style>
  <w:style w:type="paragraph" w:styleId="Heading5Para">
    <w:name w:val="Heading5Para"/>
    <w:basedOn w:val="BodyText"/>
    <w:next w:val="BodyText"/>
    <w:qFormat/>
    <w:pPr>
      <w:spacing w:lineRule="auto" w:line="240" w:before="0" w:after="240"/>
      <w:ind w:firstLine="2880" w:start="0" w:end="0"/>
    </w:pPr>
    <w:rPr/>
  </w:style>
  <w:style w:type="paragraph" w:styleId="Heading6Para">
    <w:name w:val="Heading6Para"/>
    <w:basedOn w:val="BodyText"/>
    <w:next w:val="BodyText"/>
    <w:qFormat/>
    <w:pPr>
      <w:spacing w:lineRule="auto" w:line="240" w:before="0" w:after="240"/>
      <w:ind w:firstLine="3600" w:start="0" w:end="0"/>
    </w:pPr>
    <w:rPr/>
  </w:style>
  <w:style w:type="paragraph" w:styleId="Heading7Para">
    <w:name w:val="Heading7Para"/>
    <w:basedOn w:val="BodyText"/>
    <w:next w:val="BodyText"/>
    <w:qFormat/>
    <w:pPr>
      <w:spacing w:lineRule="auto" w:line="240" w:before="0" w:after="240"/>
      <w:ind w:firstLine="4320" w:start="0" w:end="0"/>
    </w:pPr>
    <w:rPr/>
  </w:style>
  <w:style w:type="paragraph" w:styleId="Heading8Para">
    <w:name w:val="Heading8Para"/>
    <w:basedOn w:val="BodyText"/>
    <w:next w:val="BodyText"/>
    <w:qFormat/>
    <w:pPr>
      <w:spacing w:lineRule="auto" w:line="240" w:before="0" w:after="240"/>
      <w:ind w:firstLine="5040" w:start="0" w:end="0"/>
    </w:pPr>
    <w:rPr/>
  </w:style>
  <w:style w:type="paragraph" w:styleId="Heading9Para">
    <w:name w:val="Heading9Para"/>
    <w:basedOn w:val="BodyText"/>
    <w:next w:val="BodyText"/>
    <w:qFormat/>
    <w:pPr>
      <w:spacing w:lineRule="auto" w:line="240" w:before="0" w:after="240"/>
      <w:ind w:firstLine="5760" w:start="0" w:end="0"/>
    </w:pPr>
    <w:rPr/>
  </w:style>
  <w:style w:type="paragraph" w:styleId="LHFirmName">
    <w:name w:val="LH Firm Name"/>
    <w:basedOn w:val="Normal"/>
    <w:qFormat/>
    <w:pPr>
      <w:spacing w:before="0" w:after="120"/>
      <w:ind w:hanging="0" w:start="-720" w:end="0"/>
    </w:pPr>
    <w:rPr>
      <w:spacing w:val="10"/>
      <w:sz w:val="15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2001-11-26T19:56:00Z</dcterms:created>
  <dc:creator>gnemec</dc:creator>
  <dc:description/>
  <dc:language>en-CA</dc:language>
  <cp:lastModifiedBy>gnemec</cp:lastModifiedBy>
  <cp:lastPrinted>2001-11-25T17:08:00Z</cp:lastPrinted>
  <dcterms:modified xsi:type="dcterms:W3CDTF">2001-11-26T19:56:00Z</dcterms:modified>
  <cp:revision>2</cp:revision>
  <dc:subject/>
  <dc:title>Louisiana Resources/Bridgeline Holdings</dc:title>
</cp:coreProperties>
</file>