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90" w:end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Louisiana Resources/Bridgeline Holdings</w:t>
      </w:r>
    </w:p>
    <w:p>
      <w:pPr>
        <w:pStyle w:val="Normal"/>
        <w:ind w:start="-90" w:end="0"/>
        <w:rPr/>
      </w:pPr>
      <w:r>
        <w:rPr/>
      </w:r>
    </w:p>
    <w:tbl>
      <w:tblPr>
        <w:tblW w:w="1035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702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Assignee Entity: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eastAsia="en-US"/>
              </w:rPr>
              <w:t>Bridgeline Holdings, L.P</w:t>
            </w:r>
            <w:r>
              <w:rPr/>
              <w:t xml:space="preserve">  (BH)</w:t>
            </w:r>
          </w:p>
          <w:p>
            <w:pPr>
              <w:pStyle w:val="Normal"/>
              <w:numPr>
                <w:ilvl w:val="0"/>
                <w:numId w:val="5"/>
              </w:numPr>
              <w:ind w:hanging="144" w:start="162" w:end="0"/>
              <w:rPr/>
            </w:pPr>
            <w:r>
              <w:rPr/>
              <w:t xml:space="preserve">40% owned by Enron Corp. </w:t>
            </w:r>
            <w:r>
              <w:rPr>
                <w:b/>
              </w:rPr>
              <w:t>[CONFIRM/PROVIDE PROPER ENRON ENTITY]</w:t>
            </w:r>
          </w:p>
          <w:p>
            <w:pPr>
              <w:pStyle w:val="Normal"/>
              <w:numPr>
                <w:ilvl w:val="0"/>
                <w:numId w:val="5"/>
              </w:numPr>
              <w:ind w:hanging="144" w:start="162" w:end="0"/>
              <w:rPr/>
            </w:pPr>
            <w:r>
              <w:rPr/>
              <w:t xml:space="preserve">60% owned by </w:t>
            </w:r>
            <w:r>
              <w:rPr>
                <w:lang w:eastAsia="en-US"/>
              </w:rPr>
              <w:t>Texaco Exploration and Production Inc.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Assignor Entity: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 Resources Company (LR)</w:t>
            </w:r>
          </w:p>
          <w:p>
            <w:pPr>
              <w:pStyle w:val="Normal"/>
              <w:numPr>
                <w:ilvl w:val="0"/>
                <w:numId w:val="3"/>
              </w:numPr>
              <w:ind w:hanging="144" w:start="162" w:end="0"/>
              <w:rPr/>
            </w:pPr>
            <w:r>
              <w:rPr/>
              <w:t>100% owned by Enron North America Corp.</w:t>
            </w:r>
          </w:p>
          <w:p>
            <w:pPr>
              <w:pStyle w:val="Normal"/>
              <w:numPr>
                <w:ilvl w:val="0"/>
                <w:numId w:val="3"/>
              </w:numPr>
              <w:ind w:hanging="144" w:start="162" w:end="0"/>
              <w:rPr/>
            </w:pPr>
            <w:r>
              <w:rPr/>
              <w:t xml:space="preserve">Enron North America Corp. 100% owned by Enron Corp. </w:t>
            </w:r>
            <w:r>
              <w:rPr>
                <w:b/>
              </w:rPr>
              <w:t>[CONFIRM/PROVIDE PROPER ENRON ENTITY]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Transaction Date: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lang w:eastAsia="en-US"/>
              </w:rPr>
              <w:t>February 3, 2000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Transaction Summary:</w:t>
              <w:tab/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The assets of LR were not sold to Bridgeline Holdings, L.P.  Rather, they were contributed to the formation of the BH Limited Partnership in consideration for Enron's 40% equity stake and 50% control of BH.  Texaco Exploration and Production Inc. owns the other 60% of BH.  BH is governed by a 4 member management committee with Enron and Texaco each having two members.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FCC Approval obtained: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Affected licenses:</w:t>
              <w:tab/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WNTL883 (MG)</w:t>
            </w:r>
          </w:p>
          <w:p>
            <w:pPr>
              <w:pStyle w:val="Normal"/>
              <w:rPr/>
            </w:pPr>
            <w:r>
              <w:rPr/>
              <w:t>WNTL884 (MG)</w:t>
            </w:r>
          </w:p>
          <w:p>
            <w:pPr>
              <w:pStyle w:val="Normal"/>
              <w:rPr/>
            </w:pPr>
            <w:r>
              <w:rPr/>
              <w:t>KCY598 (IG)</w:t>
            </w:r>
          </w:p>
          <w:p>
            <w:pPr>
              <w:pStyle w:val="Normal"/>
              <w:rPr/>
            </w:pPr>
            <w:r>
              <w:rPr/>
              <w:t>WPME434 (IG)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lang w:eastAsia="en-US"/>
              </w:rPr>
              <w:t>Application(s) to be filed: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144" w:start="162" w:end="0"/>
              <w:rPr/>
            </w:pPr>
            <w:r>
              <w:rPr/>
              <w:t xml:space="preserve">Pro forma assignment for all 4 licenses, nunc pro tunc to </w:t>
            </w:r>
            <w:r>
              <w:rPr>
                <w:lang w:eastAsia="en-US"/>
              </w:rPr>
              <w:t>February 3, 2000</w:t>
            </w:r>
            <w:r>
              <w:rPr/>
              <w:t>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Tax Identification Number: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44" w:start="162" w:end="0"/>
              <w:rPr/>
            </w:pPr>
            <w:r>
              <w:rPr/>
              <w:t xml:space="preserve">Bridgeline Holdings, LP: </w:t>
            </w:r>
            <w:r>
              <w:rPr>
                <w:b/>
              </w:rPr>
              <w:t>[PLEASE PROVIDE]</w:t>
            </w:r>
          </w:p>
          <w:p>
            <w:pPr>
              <w:pStyle w:val="Normal"/>
              <w:numPr>
                <w:ilvl w:val="0"/>
                <w:numId w:val="2"/>
              </w:numPr>
              <w:ind w:hanging="144" w:start="162" w:end="0"/>
              <w:rPr/>
            </w:pPr>
            <w:r>
              <w:rPr/>
              <w:t xml:space="preserve">Louisiana Resources Company: </w:t>
            </w:r>
            <w:r>
              <w:rPr>
                <w:b/>
              </w:rPr>
              <w:t>[PLEASE PROVIDE]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Signatories: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Bridgeline Holdings, LP:  Robert D. Morgan (713-345-6374), Robert.D.Morgan@enron.com, </w:t>
            </w:r>
            <w:r>
              <w:rPr>
                <w:b/>
              </w:rPr>
              <w:t>[FAX No.]</w:t>
            </w:r>
          </w:p>
          <w:p>
            <w:pPr>
              <w:pStyle w:val="Normal"/>
              <w:rPr/>
            </w:pPr>
            <w:r>
              <w:rPr/>
              <w:t xml:space="preserve">Louisiana Resources Company: Gerald Nemec, Gerald.Nemec@enron.com, </w:t>
            </w:r>
            <w:r>
              <w:rPr>
                <w:b/>
              </w:rPr>
              <w:t>[FAX No.]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Contact/General Counsel: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Gerald Nemec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Aileen is checking with Jim Freeman re: TOC or assignment.  Since the assignment and the transfer happened simultaneously.</w:t>
            </w:r>
          </w:p>
        </w:tc>
      </w:tr>
    </w:tbl>
    <w:p>
      <w:pPr>
        <w:pStyle w:val="Normal"/>
        <w:ind w:start="-90" w:end="0"/>
        <w:rPr/>
      </w:pPr>
      <w:r>
        <w:rPr/>
      </w:r>
    </w:p>
    <w:sectPr>
      <w:type w:val="nextPage"/>
      <w:pgSz w:w="12240" w:h="15840"/>
      <w:pgMar w:left="1440" w:right="1440" w:gutter="0" w:header="0" w:top="630" w:footer="0" w:bottom="99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"/>
        </w:tabs>
        <w:ind w:start="0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u w:val="none"/>
    </w:rPr>
  </w:style>
  <w:style w:type="character" w:styleId="WW8Num11z2">
    <w:name w:val="WW8Num11z2"/>
    <w:qFormat/>
    <w:rPr>
      <w:b w:val="false"/>
      <w:u w:val="non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LineNumber">
    <w:name w:val="lin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emboss/>
      <w:vanish w:val="false"/>
      <w:spacing w:val="0"/>
      <w:w w:val="100"/>
      <w:position w:val="0"/>
      <w:sz w:val="16"/>
      <w:sz w:val="16"/>
      <w:u w:val="none"/>
      <w:effect w:val="blinkBackground"/>
      <w:vertAlign w:val="baseline"/>
      <w:lang w:val="en-CA" w:eastAsia="en-C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tLeast" w:line="240"/>
    </w:pPr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>
      <w:spacing w:lineRule="exact" w:line="240" w:before="0" w:after="120"/>
      <w:ind w:hanging="720" w:start="720" w:end="0"/>
    </w:pPr>
    <w:rPr/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</w:rPr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EnvelopeBilling">
    <w:name w:val="Envelope Billing"/>
    <w:basedOn w:val="Normal"/>
    <w:qFormat/>
    <w:pPr/>
    <w:rPr>
      <w:sz w:val="18"/>
    </w:rPr>
  </w:style>
  <w:style w:type="paragraph" w:styleId="Heading1Para">
    <w:name w:val="Heading1Para"/>
    <w:basedOn w:val="BodyText"/>
    <w:next w:val="BodyText"/>
    <w:qFormat/>
    <w:pPr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spacing w:lineRule="auto" w:line="240" w:before="0" w:after="240"/>
      <w:ind w:firstLine="5760" w:start="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spacing w:val="10"/>
      <w:sz w:val="15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2001-11-25T20:15:00Z</dcterms:created>
  <dc:creator/>
  <dc:description/>
  <dc:language>en-CA</dc:language>
  <cp:lastModifiedBy>Kelley Drye &amp; Warren LLP</cp:lastModifiedBy>
  <cp:lastPrinted>2001-11-25T17:08:00Z</cp:lastPrinted>
  <dcterms:modified xsi:type="dcterms:W3CDTF">2001-11-25T20:28:00Z</dcterms:modified>
  <cp:revision>3</cp:revision>
  <dc:subject/>
  <dc:title/>
</cp:coreProperties>
</file>