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April 18,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Mr. John Grass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Houston, TX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Heading2"/>
        <w:rPr>
          <w:i w:val="false"/>
          <w:i w:val="false"/>
        </w:rPr>
      </w:pPr>
      <w:r>
        <w:rPr>
          <w:i w:val="false"/>
        </w:rPr>
        <w:t>Re:</w:t>
        <w:tab/>
        <w:t>Term Sheet for Firm Gas Supply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rPr>
      </w:pPr>
      <w:r>
        <w:rPr>
          <w:i/>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Dear John:</w:t>
      </w:r>
    </w:p>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This Term Sheet outlines the principal terms and conditions of a proposed GISB Short Term Natural Gas Purchase and Sale Agreement (“GISB”) between Enron</w:t>
      </w:r>
      <w:r>
        <w:rPr>
          <w:b/>
          <w:i/>
        </w:rPr>
        <w:t xml:space="preserve"> </w:t>
      </w:r>
      <w:r>
        <w:rPr/>
        <w:t>(“Enron”) and the Panda Midway Power Partners, L.L.C. Project near Midway, Florida (“PMPP”) and Panda Leesburg Power Partners, L.L.C. project near Leesburg, Florida (“PLPP”) (herein referred to as the “Project”, “Projects” or “Buyer”) under which Supplier will sell natural gas to the Projects on a firm basis.  The Projects intend to use such gas for electric generation.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BodyText"/>
        <w:rPr>
          <w:b/>
          <w:i/>
          <w:i/>
        </w:rPr>
      </w:pPr>
      <w:r>
        <w:rPr/>
        <w:t>The Projects intend to execute a letter of intent with Supplier referencing this Term Sheet that addresses the mutually agreeable terms as outlined below.  This Term Sheet may be submitted as part of an application to obtain a Certificate of Need from the Florida Public Service Commission.</w:t>
      </w:r>
    </w:p>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i/>
          <w:i/>
        </w:rPr>
      </w:pPr>
      <w:r>
        <w:rPr>
          <w:b/>
          <w:i/>
        </w:rPr>
      </w:r>
    </w:p>
    <w:p>
      <w:pPr>
        <w:pStyle w:val="Heading1"/>
        <w:ind w:hanging="0" w:start="0"/>
        <w:rPr/>
      </w:pPr>
      <w:r>
        <w:rPr/>
        <w:t>Principal Terms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Type of Service:</w:t>
        <w:tab/>
        <w:tab/>
        <w:t>Firm Gas Supply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Type of Contract:</w:t>
        <w:tab/>
        <w:tab/>
        <w:t>GISB w/Special Conditions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Quantity:</w:t>
        <w:tab/>
        <w:tab/>
        <w:tab/>
        <w:t>As negotiated on Transaction Confirmation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BodyTextIn"/>
        <w:tabs>
          <w:tab w:val="clear" w:pos="0"/>
          <w:tab w:val="clear" w:pos="90"/>
          <w:tab w:val="clear" w:pos="810"/>
          <w:tab w:val="clear" w:pos="1530"/>
          <w:tab w:val="clear" w:pos="2250"/>
          <w:tab w:val="clear" w:pos="2970"/>
          <w:tab w:val="clear" w:pos="3690"/>
          <w:tab w:val="clear" w:pos="4410"/>
          <w:tab w:val="clear" w:pos="5130"/>
          <w:tab w:val="clear" w:pos="5850"/>
          <w:tab w:val="left" w:pos="-423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880" w:start="2880" w:end="0"/>
        <w:jc w:val="start"/>
        <w:rPr/>
      </w:pPr>
      <w:r>
        <w:rPr/>
        <w:t xml:space="preserve">Maximum Daily Quantity: </w:t>
        <w:tab/>
        <w:t>100,000 MMBtu/d</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BodyTextIn"/>
        <w:tabs>
          <w:tab w:val="clear" w:pos="0"/>
          <w:tab w:val="clear" w:pos="90"/>
          <w:tab w:val="clear" w:pos="810"/>
          <w:tab w:val="clear" w:pos="1530"/>
          <w:tab w:val="clear" w:pos="2250"/>
          <w:tab w:val="clear" w:pos="2970"/>
          <w:tab w:val="clear" w:pos="3690"/>
          <w:tab w:val="clear" w:pos="4410"/>
          <w:tab w:val="clear" w:pos="5130"/>
          <w:tab w:val="clear" w:pos="5850"/>
          <w:tab w:val="left" w:pos="-423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880" w:start="2880" w:end="0"/>
        <w:rPr/>
      </w:pPr>
      <w:r>
        <w:rPr/>
        <w:t>Term:</w:t>
        <w:tab/>
        <w:t>Two years initial, with evergreen provision and a Buyer’s right of first refusal for any proposed changes to the GISB or Special Conditions requested by Supplier.</w:t>
      </w:r>
    </w:p>
    <w:p>
      <w:pPr>
        <w:pStyle w:val="BodyTextIn"/>
        <w:tabs>
          <w:tab w:val="clear" w:pos="0"/>
          <w:tab w:val="clear" w:pos="90"/>
          <w:tab w:val="clear" w:pos="810"/>
          <w:tab w:val="clear" w:pos="1530"/>
          <w:tab w:val="clear" w:pos="2250"/>
          <w:tab w:val="clear" w:pos="2970"/>
          <w:tab w:val="clear" w:pos="3690"/>
          <w:tab w:val="clear" w:pos="4410"/>
          <w:tab w:val="clear" w:pos="5130"/>
          <w:tab w:val="clear" w:pos="5850"/>
          <w:tab w:val="left" w:pos="-423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880" w:start="2880" w:end="0"/>
        <w:jc w:val="start"/>
        <w:rPr/>
      </w:pPr>
      <w:r>
        <w:rPr/>
        <w:t xml:space="preserve">  </w:t>
      </w:r>
    </w:p>
    <w:p>
      <w:pPr>
        <w:pStyle w:val="Normal"/>
        <w:ind w:hanging="2880" w:start="2880" w:end="0"/>
        <w:rPr/>
      </w:pPr>
      <w:r>
        <w:rPr/>
        <w:t>Start Date:</w:t>
        <w:tab/>
        <w:t>Effective at the beginning of the Projects test gas period (“Facility Testing Date”), approximately October 1, 2002</w:t>
      </w:r>
    </w:p>
    <w:p>
      <w:pPr>
        <w:pStyle w:val="Normal"/>
        <w:ind w:hanging="2880" w:start="2880" w:end="0"/>
        <w:rPr/>
      </w:pPr>
      <w:r>
        <w:rPr/>
      </w:r>
    </w:p>
    <w:p>
      <w:pPr>
        <w:pStyle w:val="2"/>
        <w:tabs>
          <w:tab w:val="clear" w:pos="0"/>
          <w:tab w:val="clear" w:pos="720"/>
          <w:tab w:val="clear" w:pos="1440"/>
          <w:tab w:val="clear" w:pos="2160"/>
          <w:tab w:val="left" w:pos="-288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Delivery Points:</w:t>
        <w:tab/>
        <w:t>At the Supplier’s option, any of the following delivery points can be used:</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880" w:start="2880" w:end="0"/>
        <w:rPr/>
      </w:pPr>
      <w:r>
        <w:rPr/>
        <w:tab/>
        <w:t>(A) PLPP/Gulfstream</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880" w:start="2880" w:end="0"/>
        <w:rPr/>
      </w:pPr>
      <w:r>
        <w:rPr/>
        <w:tab/>
        <w:t>(B) PMPP/Gulfstream</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880" w:start="2880" w:end="0"/>
        <w:rPr/>
      </w:pPr>
      <w:r>
        <w:rPr/>
        <w:tab/>
        <w:t>(C) PMPP/FGT</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880" w:start="2880" w:end="0"/>
        <w:rPr/>
      </w:pPr>
      <w:r>
        <w:rPr/>
      </w:r>
    </w:p>
    <w:p>
      <w:pPr>
        <w:pStyle w:val="2"/>
        <w:tabs>
          <w:tab w:val="clear" w:pos="720"/>
          <w:tab w:val="clear" w:pos="1440"/>
          <w:tab w:val="clear" w:pos="2160"/>
          <w:tab w:val="clear" w:pos="3600"/>
          <w:tab w:val="clear" w:pos="4320"/>
          <w:tab w:val="clear" w:pos="5040"/>
          <w:tab w:val="clear" w:pos="5760"/>
          <w:tab w:val="left" w:pos="-2880" w:leader="none"/>
          <w:tab w:val="left" w:pos="0" w:leader="none"/>
          <w:tab w:val="left" w:pos="2880" w:leader="none"/>
        </w:tabs>
        <w:jc w:val="both"/>
        <w:rPr/>
      </w:pPr>
      <w:r>
        <w:rPr/>
        <w:t>Buy Back Option:</w:t>
        <w:tab/>
        <w:t>In the event either Project is unable to receive gas that was committed on any day, Buyer may request to (i) in the case of Gulfstream deliveries, move the delivery point between the Projects or (ii) sell the gas back to Supplier at a negotiated price</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2"/>
        <w:tabs>
          <w:tab w:val="clear" w:pos="0"/>
          <w:tab w:val="clear" w:pos="720"/>
          <w:tab w:val="clear" w:pos="1440"/>
          <w:tab w:val="clear" w:pos="2160"/>
          <w:tab w:val="left" w:pos="-288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Price:</w:t>
        <w:tab/>
        <w:t xml:space="preserve">As negotiated on Transaction Confirmation </w:t>
      </w:r>
    </w:p>
    <w:p>
      <w:pPr>
        <w:pStyle w:val="Normal"/>
        <w:tabs>
          <w:tab w:val="left" w:pos="-144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rPr/>
      </w:pPr>
      <w:r>
        <w:rPr/>
      </w:r>
    </w:p>
    <w:p>
      <w:pPr>
        <w:pStyle w:val="Normal"/>
        <w:tabs>
          <w:tab w:val="left" w:pos="-144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880" w:start="2880" w:end="0"/>
        <w:jc w:val="both"/>
        <w:rPr/>
      </w:pPr>
      <w:r>
        <w:rPr/>
        <w:t>Conditions Precedent:</w:t>
        <w:tab/>
        <w:tab/>
        <w:t>The following conditions precedent to the GISB shall exist:</w:t>
      </w:r>
    </w:p>
    <w:p>
      <w:pPr>
        <w:pStyle w:val="Normal"/>
        <w:tabs>
          <w:tab w:val="left" w:pos="-144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3600" w:end="0"/>
        <w:jc w:val="both"/>
        <w:rPr/>
      </w:pPr>
      <w:r>
        <w:rPr/>
        <w:t>(i)</w:t>
        <w:tab/>
        <w:t>Project financing shall have been completed by November 1, 2001, and</w:t>
      </w:r>
    </w:p>
    <w:p>
      <w:pPr>
        <w:pStyle w:val="Normal"/>
        <w:tabs>
          <w:tab w:val="left" w:pos="-144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3600" w:end="0"/>
        <w:jc w:val="both"/>
        <w:rPr/>
      </w:pPr>
      <w:r>
        <w:rPr/>
        <w:t>(ii)</w:t>
        <w:tab/>
        <w:t>The Gulfstream pipeline shall be constructed and in service by the Facility Testing Date.</w:t>
      </w:r>
    </w:p>
    <w:p>
      <w:pPr>
        <w:pStyle w:val="Normal"/>
        <w:tabs>
          <w:tab w:val="left" w:pos="-144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jc w:val="both"/>
        <w:rPr/>
      </w:pPr>
      <w:r>
        <w:rPr/>
      </w:r>
    </w:p>
    <w:p>
      <w:pPr>
        <w:pStyle w:val="BodyTextIndent2"/>
        <w:tabs>
          <w:tab w:val="clear" w:pos="25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2880" w:end="0"/>
        <w:jc w:val="both"/>
        <w:rPr/>
      </w:pPr>
      <w:r>
        <w:rPr/>
        <w:t>Performance Obligation:</w:t>
        <w:tab/>
        <w:t>Supplier shall have firm obligation to deliver quantities agreed to in a Transaction Confirmation subject to the Cover Standard selected in the GISB agreement which will apply to all non-performance events except Force Majeure events. In the event of Supplier’s failure to deliver firm gas, Supplier shall have the option to: (a) pay the cost to cover replacement firm gas, (b) pay the cost to cover replacement firm power, or (c) supply replacement firm power.</w:t>
      </w:r>
    </w:p>
    <w:p>
      <w:pPr>
        <w:pStyle w:val="BodyTextIndent2"/>
        <w:tabs>
          <w:tab w:val="clear" w:pos="25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2880" w:end="0"/>
        <w:jc w:val="both"/>
        <w:rPr/>
      </w:pPr>
      <w:r>
        <w:rPr/>
      </w:r>
    </w:p>
    <w:p>
      <w:pPr>
        <w:pStyle w:val="2"/>
        <w:tabs>
          <w:tab w:val="clear" w:pos="0"/>
          <w:tab w:val="clear" w:pos="720"/>
          <w:tab w:val="clear" w:pos="1440"/>
          <w:tab w:val="clear" w:pos="2160"/>
          <w:tab w:val="left" w:pos="-28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Confidentiality:</w:t>
        <w:tab/>
        <w:t>Neither Supplier nor Buyer shall disclose to any third parties, except for financial advisors, Florida Public Service Commission (subject to FPSC confidentiality rules) and consultants retained by Buyer for the purpose of evaluating and/or implementing this transaction, or make any public representations or announcements relating to this Term Sheet, the pricing contained in it, or the terms discussed, without the prior approval of the other party.</w:t>
      </w:r>
    </w:p>
    <w:p>
      <w:pPr>
        <w:pStyle w:val="2"/>
        <w:tabs>
          <w:tab w:val="clear" w:pos="0"/>
          <w:tab w:val="clear" w:pos="720"/>
          <w:tab w:val="clear" w:pos="1440"/>
          <w:tab w:val="clear" w:pos="2160"/>
          <w:tab w:val="left" w:pos="-28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2"/>
        <w:tabs>
          <w:tab w:val="clear" w:pos="0"/>
          <w:tab w:val="clear" w:pos="720"/>
          <w:tab w:val="clear" w:pos="1440"/>
          <w:tab w:val="clear" w:pos="2160"/>
          <w:tab w:val="left" w:pos="-28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Sincerely,</w:t>
      </w:r>
    </w:p>
    <w:p>
      <w:pPr>
        <w:pStyle w:val="2"/>
        <w:tabs>
          <w:tab w:val="clear" w:pos="0"/>
          <w:tab w:val="clear" w:pos="720"/>
          <w:tab w:val="clear" w:pos="1440"/>
          <w:tab w:val="clear" w:pos="2160"/>
          <w:tab w:val="left" w:pos="-28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2"/>
        <w:tabs>
          <w:tab w:val="clear" w:pos="0"/>
          <w:tab w:val="clear" w:pos="720"/>
          <w:tab w:val="clear" w:pos="1440"/>
          <w:tab w:val="clear" w:pos="2160"/>
          <w:tab w:val="left" w:pos="-28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2"/>
        <w:tabs>
          <w:tab w:val="clear" w:pos="0"/>
          <w:tab w:val="clear" w:pos="720"/>
          <w:tab w:val="clear" w:pos="1440"/>
          <w:tab w:val="clear" w:pos="2160"/>
          <w:tab w:val="left" w:pos="-28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2"/>
        <w:tabs>
          <w:tab w:val="clear" w:pos="0"/>
          <w:tab w:val="clear" w:pos="720"/>
          <w:tab w:val="clear" w:pos="1440"/>
          <w:tab w:val="clear" w:pos="2160"/>
          <w:tab w:val="left" w:pos="-28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J. L. Adams, Jr.</w:t>
      </w:r>
    </w:p>
    <w:p>
      <w:pPr>
        <w:pStyle w:val="2"/>
        <w:tabs>
          <w:tab w:val="clear" w:pos="0"/>
          <w:tab w:val="clear" w:pos="720"/>
          <w:tab w:val="clear" w:pos="1440"/>
          <w:tab w:val="clear" w:pos="2160"/>
          <w:tab w:val="left" w:pos="-28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Vice President – Fuels</w:t>
      </w:r>
    </w:p>
    <w:p>
      <w:pPr>
        <w:pStyle w:val="2"/>
        <w:tabs>
          <w:tab w:val="clear" w:pos="0"/>
          <w:tab w:val="clear" w:pos="720"/>
          <w:tab w:val="clear" w:pos="1440"/>
          <w:tab w:val="clear" w:pos="2160"/>
          <w:tab w:val="left" w:pos="-28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2"/>
        <w:tabs>
          <w:tab w:val="clear" w:pos="0"/>
          <w:tab w:val="clear" w:pos="720"/>
          <w:tab w:val="clear" w:pos="1440"/>
          <w:tab w:val="clear" w:pos="2160"/>
          <w:tab w:val="left" w:pos="-28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JLA/lc</w:t>
      </w:r>
    </w:p>
    <w:p>
      <w:pPr>
        <w:pStyle w:val="Normal"/>
        <w:ind w:hanging="2880" w:start="2880" w:end="0"/>
        <w:rPr>
          <w:rFonts w:ascii="Times New Roman" w:hAnsi="Times New Roman" w:cs="Times New Roman"/>
        </w:rPr>
      </w:pPr>
      <w:r>
        <w:rPr>
          <w:rFonts w:cs="Times New Roman" w:ascii="Times New Roman" w:hAnsi="Times New Roman"/>
        </w:rPr>
      </w:r>
    </w:p>
    <w:p>
      <w:pPr>
        <w:pStyle w:val="Normal"/>
        <w:ind w:hanging="2880" w:start="2880" w:end="0"/>
        <w:rPr>
          <w:rFonts w:ascii="Times New Roman" w:hAnsi="Times New Roman" w:cs="Times New Roman"/>
        </w:rPr>
      </w:pPr>
      <w:r>
        <w:rPr>
          <w:rFonts w:cs="Times New Roman" w:ascii="Times New Roman" w:hAnsi="Times New Roman"/>
        </w:rPr>
      </w:r>
    </w:p>
    <w:p>
      <w:pPr>
        <w:pStyle w:val="Normal"/>
        <w:ind w:hanging="2880" w:start="2880" w:end="0"/>
        <w:rPr>
          <w:rFonts w:ascii="Times New Roman" w:hAnsi="Times New Roman" w:cs="Times New Roman"/>
        </w:rPr>
      </w:pPr>
      <w:r>
        <w:rPr>
          <w:rFonts w:cs="Times New Roman" w:ascii="Times New Roman" w:hAnsi="Times New Roman"/>
        </w:rPr>
      </w:r>
    </w:p>
    <w:sectPr>
      <w:headerReference w:type="default" r:id="rId2"/>
      <w:footerReference w:type="default" r:id="rId3"/>
      <w:type w:val="nextPage"/>
      <w:pgSz w:w="12240" w:h="15840"/>
      <w:pgMar w:left="1440" w:right="1440" w:gutter="0" w:header="720" w:top="2880" w:footer="720" w:bottom="21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4140" w:leader="none"/>
        <w:tab w:val="left" w:pos="7650" w:leader="none"/>
      </w:tabs>
      <w:rPr>
        <w:b/>
        <w:sz w:val="20"/>
      </w:rPr>
    </w:pPr>
    <w:r>
      <w:rPr>
        <w:b/>
        <w:sz w:val="20"/>
      </w:rPr>
      <w:tab/>
      <w:t>4100 Spring Valley Road, Suite 1001, Dallas, Texas 75244</w:t>
    </w:r>
  </w:p>
  <w:p>
    <w:pPr>
      <w:pStyle w:val="Footer"/>
      <w:tabs>
        <w:tab w:val="clear" w:pos="4320"/>
        <w:tab w:val="clear" w:pos="8640"/>
        <w:tab w:val="left" w:pos="4140" w:leader="none"/>
        <w:tab w:val="left" w:pos="6480" w:leader="none"/>
      </w:tabs>
      <w:rPr>
        <w:b/>
        <w:sz w:val="20"/>
      </w:rPr>
    </w:pPr>
    <w:r>
      <w:rPr>
        <w:b/>
        <w:sz w:val="20"/>
      </w:rPr>
      <w:tab/>
      <w:t>PHONE - 972/980-7159</w:t>
      <w:tab/>
      <w:t>FAX - 972/980-6815</w:t>
    </w:r>
  </w:p>
  <w:p>
    <w:pPr>
      <w:pStyle w:val="Footer"/>
      <w:tabs>
        <w:tab w:val="clear" w:pos="4320"/>
        <w:tab w:val="left" w:pos="4140" w:leader="none"/>
        <w:tab w:val="right" w:pos="864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object w:dxaOrig="1273" w:dyaOrig="70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3.65pt;height:35.2pt" filled="f" o:ole="">
          <v:imagedata r:id="rId2" o:title=""/>
        </v:shape>
        <o:OLEObject Type="Embed" ProgID="" ShapeID="ole_rId1" DrawAspect="Content" ObjectID="_1459449905" r:id="rId1"/>
      </w:object>
    </w:r>
    <w:r>
      <mc:AlternateContent>
        <mc:Choice Requires="wps">
          <w:drawing>
            <wp:anchor behindDoc="1" distT="0" distB="0" distL="114935" distR="114935" simplePos="0" locked="0" layoutInCell="1" allowOverlap="1" relativeHeight="4">
              <wp:simplePos x="0" y="0"/>
              <wp:positionH relativeFrom="column">
                <wp:posOffset>3017520</wp:posOffset>
              </wp:positionH>
              <wp:positionV relativeFrom="paragraph">
                <wp:posOffset>182880</wp:posOffset>
              </wp:positionV>
              <wp:extent cx="2834640" cy="823595"/>
              <wp:effectExtent l="0" t="0" r="0" b="0"/>
              <wp:wrapNone/>
              <wp:docPr id="1" name="Frame1"/>
              <a:graphic xmlns:a="http://schemas.openxmlformats.org/drawingml/2006/main">
                <a:graphicData uri="http://schemas.microsoft.com/office/word/2010/wordprocessingShape">
                  <wps:wsp>
                    <wps:cNvSpPr txBox="1"/>
                    <wps:spPr>
                      <a:xfrm>
                        <a:off x="0" y="0"/>
                        <a:ext cx="2834640" cy="823595"/>
                      </a:xfrm>
                      <a:prstGeom prst="rect"/>
                      <a:solidFill>
                        <a:srgbClr val="FFFFFF">
                          <a:alpha val="0"/>
                        </a:srgbClr>
                      </a:solidFill>
                    </wps:spPr>
                    <wps:txbx>
                      <w:txbxContent>
                        <w:p>
                          <w:pPr>
                            <w:pStyle w:val="Normal"/>
                            <w:spacing w:lineRule="exact" w:line="360"/>
                            <w:rPr>
                              <w:b/>
                              <w:sz w:val="36"/>
                            </w:rPr>
                          </w:pPr>
                          <w:r>
                            <w:rPr>
                              <w:b/>
                              <w:sz w:val="36"/>
                            </w:rPr>
                            <w:t>PANDA ENERGY</w:t>
                          </w:r>
                        </w:p>
                        <w:p>
                          <w:pPr>
                            <w:pStyle w:val="Normal"/>
                            <w:rPr>
                              <w:b/>
                              <w:sz w:val="36"/>
                            </w:rPr>
                          </w:pPr>
                          <w:r>
                            <w:rPr>
                              <w:b/>
                              <w:sz w:val="36"/>
                            </w:rPr>
                            <w:t>INTERNATIONAL, INC.</w:t>
                          </w:r>
                        </w:p>
                        <w:p>
                          <w:pPr>
                            <w:pStyle w:val="Normal"/>
                            <w:rPr>
                              <w:b/>
                              <w:sz w:val="22"/>
                            </w:rPr>
                          </w:pPr>
                          <w:r>
                            <w:rPr>
                              <w:b/>
                              <w:sz w:val="22"/>
                            </w:rPr>
                            <w:t>The Global Power Company</w:t>
                          </w:r>
                        </w:p>
                        <w:p>
                          <w:pPr>
                            <w:pStyle w:val="Normal"/>
                            <w:rPr/>
                          </w:pPr>
                          <w:r>
                            <w:rPr/>
                          </w:r>
                        </w:p>
                      </w:txbxContent>
                    </wps:txbx>
                    <wps:bodyPr anchor="t" lIns="13335" tIns="13335" rIns="13335" bIns="13335">
                      <a:noAutofit/>
                    </wps:bodyPr>
                  </wps:wsp>
                </a:graphicData>
              </a:graphic>
            </wp:anchor>
          </w:drawing>
        </mc:Choice>
        <mc:Fallback>
          <w:pict>
            <v:rect fillcolor="#FFFFFF" style="position:absolute;rotation:-0;width:223.2pt;height:64.85pt;mso-wrap-distance-left:9.05pt;mso-wrap-distance-right:9.05pt;mso-wrap-distance-top:0pt;mso-wrap-distance-bottom:0pt;margin-top:14.4pt;mso-position-vertical-relative:text;margin-left:237.6pt;mso-position-horizontal-relative:text">
              <v:fill opacity="0f"/>
              <v:textbox inset="0.0145833333333333in,0.0145833333333333in,0.0145833333333333in,0.0145833333333333in">
                <w:txbxContent>
                  <w:p>
                    <w:pPr>
                      <w:pStyle w:val="Normal"/>
                      <w:spacing w:lineRule="exact" w:line="360"/>
                      <w:rPr>
                        <w:b/>
                        <w:sz w:val="36"/>
                      </w:rPr>
                    </w:pPr>
                    <w:r>
                      <w:rPr>
                        <w:b/>
                        <w:sz w:val="36"/>
                      </w:rPr>
                      <w:t>PANDA ENERGY</w:t>
                    </w:r>
                  </w:p>
                  <w:p>
                    <w:pPr>
                      <w:pStyle w:val="Normal"/>
                      <w:rPr>
                        <w:b/>
                        <w:sz w:val="36"/>
                      </w:rPr>
                    </w:pPr>
                    <w:r>
                      <w:rPr>
                        <w:b/>
                        <w:sz w:val="36"/>
                      </w:rPr>
                      <w:t>INTERNATIONAL, INC.</w:t>
                    </w:r>
                  </w:p>
                  <w:p>
                    <w:pPr>
                      <w:pStyle w:val="Normal"/>
                      <w:rPr>
                        <w:b/>
                        <w:sz w:val="22"/>
                      </w:rPr>
                    </w:pPr>
                    <w:r>
                      <w:rPr>
                        <w:b/>
                        <w:sz w:val="22"/>
                      </w:rPr>
                      <w:t>The Global Power Company</w:t>
                    </w:r>
                  </w:p>
                  <w:p>
                    <w:pPr>
                      <w:pStyle w:val="Normal"/>
                      <w:rPr/>
                    </w:pPr>
                    <w:r>
                      <w:rPr/>
                    </w:r>
                  </w:p>
                </w:txbxContent>
              </v:textbox>
              <w10:wrap type="none"/>
            </v:rect>
          </w:pict>
        </mc:Fallback>
      </mc:AlternateContent>
    </w:r>
  </w:p>
  <w:p>
    <w:pPr>
      <w:pStyle w:val="Header"/>
      <w:jc w:val="end"/>
      <w:rPr>
        <w:sz w:val="18"/>
      </w:rPr>
    </w:pPr>
    <w:r>
      <w:rPr>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Times New Roman" w:hAnsi="Book Antiqua;Times New Roman" w:eastAsia="Times New Roman" w:cs="Book Antiqua;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0"/>
    </w:pPr>
    <w:rPr>
      <w:rFonts w:ascii="Times New Roman" w:hAnsi="Times New Roman" w:cs="Times New Roman"/>
      <w:b/>
      <w:u w:val="single"/>
      <w:lang w:eastAsia="en-US"/>
    </w:rPr>
  </w:style>
  <w:style w:type="paragraph" w:styleId="Heading2">
    <w:name w:val="heading 2"/>
    <w:basedOn w:val="Normal"/>
    <w:next w:val="Normal"/>
    <w:qFormat/>
    <w:pPr>
      <w:keepNext w:val="true"/>
      <w:widowControl w:val="false"/>
      <w:numPr>
        <w:ilvl w:val="1"/>
        <w:numId w:val="1"/>
      </w:numPr>
      <w:tabs>
        <w:tab w:val="clear" w:pos="720"/>
        <w:tab w:val="left" w:pos="-14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outlineLvl w:val="1"/>
    </w:pPr>
    <w:rPr>
      <w:rFonts w:ascii="Times New Roman" w:hAnsi="Times New Roman" w:cs="Times New Roman"/>
      <w:i/>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rFonts w:ascii="Times New Roman" w:hAnsi="Times New Roman" w:cs="Times New Roman"/>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
    <w:name w:val="Body Text In"/>
    <w:basedOn w:val="Normal"/>
    <w:qFormat/>
    <w:pPr>
      <w:widowControl w:val="false"/>
      <w:tabs>
        <w:tab w:val="clear" w:pos="720"/>
        <w:tab w:val="left" w:pos="-4230" w:leader="none"/>
        <w:tab w:val="left" w:pos="0" w:leader="none"/>
        <w:tab w:val="left" w:pos="90"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s>
      <w:ind w:hanging="2790" w:start="2790" w:end="0"/>
      <w:jc w:val="both"/>
    </w:pPr>
    <w:rPr>
      <w:rFonts w:ascii="Times New Roman" w:hAnsi="Times New Roman" w:cs="Times New Roman"/>
      <w:lang w:eastAsia="en-US"/>
    </w:rPr>
  </w:style>
  <w:style w:type="paragraph" w:styleId="2">
    <w:name w:val="2"/>
    <w:basedOn w:val="Normal"/>
    <w:qFormat/>
    <w:pPr>
      <w:widowControl w:val="false"/>
      <w:tabs>
        <w:tab w:val="left" w:pos="-28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2880" w:start="2880" w:end="0"/>
    </w:pPr>
    <w:rPr>
      <w:rFonts w:ascii="Times New Roman" w:hAnsi="Times New Roman" w:cs="Times New Roman"/>
      <w:lang w:eastAsia="en-US"/>
    </w:rPr>
  </w:style>
  <w:style w:type="paragraph" w:styleId="BodyTextIndent2">
    <w:name w:val="Body Text Indent 2"/>
    <w:basedOn w:val="Normal"/>
    <w:qFormat/>
    <w:pPr>
      <w:widowControl w:val="false"/>
      <w:tabs>
        <w:tab w:val="clear" w:pos="720"/>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520" w:start="2520" w:end="0"/>
    </w:pPr>
    <w:rPr>
      <w:rFonts w:ascii="Times New Roman" w:hAnsi="Times New Roman" w:cs="Times New Roman"/>
      <w:lang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Peii-ltr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2000-04-18T13:17:00Z</dcterms:created>
  <dc:creator>loric</dc:creator>
  <dc:description/>
  <dc:language>en-CA</dc:language>
  <cp:lastModifiedBy>loric</cp:lastModifiedBy>
  <cp:lastPrinted>1995-10-25T14:51:00Z</cp:lastPrinted>
  <dcterms:modified xsi:type="dcterms:W3CDTF">2000-04-18T13:17:00Z</dcterms:modified>
  <cp:revision>2</cp:revision>
  <dc:subject/>
  <dc:title>	</dc:title>
</cp:coreProperties>
</file>