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Year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Upfront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License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Service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$2M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$2M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$2M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4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$2M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5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$1M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 responsible for upfront expenses.</w:t>
      </w:r>
    </w:p>
    <w:p>
      <w:pPr>
        <w:pStyle w:val="Normal"/>
        <w:numPr>
          <w:ilvl w:val="0"/>
          <w:numId w:val="1"/>
        </w:numPr>
        <w:rPr/>
      </w:pPr>
      <w:r>
        <w:rPr/>
        <w:t>Valtech payment scale is contingent upon Enron completing setup.</w:t>
      </w:r>
    </w:p>
    <w:p>
      <w:pPr>
        <w:pStyle w:val="Normal"/>
        <w:numPr>
          <w:ilvl w:val="0"/>
          <w:numId w:val="1"/>
        </w:numPr>
        <w:rPr/>
      </w:pPr>
      <w:r>
        <w:rPr/>
        <w:t>If total licenses sold is greater than 1 million per year Enron receives 50% license for that year.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The payments in each year are contingent upon achievement of targets in the preceding year.  </w:t>
      </w:r>
    </w:p>
    <w:p>
      <w:pPr>
        <w:pStyle w:val="Normal"/>
        <w:numPr>
          <w:ilvl w:val="0"/>
          <w:numId w:val="1"/>
        </w:numPr>
        <w:rPr/>
      </w:pPr>
      <w:r>
        <w:rPr/>
        <w:t>If targets are not met Valtech retains the right to review and determine to continue.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2001-05-04T17:51:00Z</dcterms:created>
  <dc:creator>Martin.Santora</dc:creator>
  <dc:description/>
  <dc:language>en-CA</dc:language>
  <cp:lastModifiedBy>Martin.Santora</cp:lastModifiedBy>
  <dcterms:modified xsi:type="dcterms:W3CDTF">2001-05-04T18:22:00Z</dcterms:modified>
  <cp:revision>1</cp:revision>
  <dc:subject/>
  <dc:title>Year</dc:title>
</cp:coreProperties>
</file>