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TBG Cogen Partners, a New York general partnership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November,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state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by the other Party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Each Party may at its expense maintain equipment necessary to regularly record Transactions on Transaction Tapes and retain Transaction Tapes in such manner as to protect its business records from improper access.  Neither Party shall be liable to the other Party for any malfunction of equipment or the operation thereof in respect of any Transaction WITHOUT REGARD TO THE CAUSE OR CAUSES RELATED THERETO, INCLUDING, WITHOUT LIMITATION, THE NEGLIGENCE OF ANY PARTY, WHETHER SUCH NEGLIGENCE IS SOLE, JOINT OR CONCURRENT, OR ACTIVE OR PASSIVE.  No Transaction shall be vitiated should a malfunction occur in equipment regularly utilized for recording Transactions or retaining Transaction Tapes or the operation thereof, and in such event, the Transaction may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Seller may confirm a recorded telephonic Transaction by forwarding to Buyer a facsimile Confirmation and that a reasonable time for the receipt by Buyer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and such employee’s authority to bind such Party is reasonably known to the other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Unless otherwise agreed, nothing in this Agreement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netting pursuant to </w:t>
      </w:r>
      <w:r>
        <w:rPr>
          <w:rFonts w:cs="Arial Narrow" w:ascii="Arial Narrow" w:hAnsi="Arial Narrow"/>
          <w:sz w:val="18"/>
          <w:u w:val="single"/>
        </w:rPr>
        <w:t>Section 3.5</w:t>
      </w:r>
      <w:r>
        <w:rPr>
          <w:rFonts w:cs="Arial Narrow" w:ascii="Arial Narrow" w:hAnsi="Arial Narrow"/>
          <w:sz w:val="18"/>
        </w:rPr>
        <w:t xml:space="preserve"> and offset pursuant to </w:t>
      </w:r>
      <w:r>
        <w:rPr>
          <w:rFonts w:cs="Arial Narrow" w:ascii="Arial Narrow" w:hAnsi="Arial Narrow"/>
          <w:sz w:val="18"/>
          <w:u w:val="single"/>
        </w:rPr>
        <w:t>Section 4.4</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however,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netting pursuant to </w:t>
      </w:r>
      <w:r>
        <w:rPr>
          <w:rFonts w:cs="Arial Narrow" w:ascii="Arial Narrow" w:hAnsi="Arial Narrow"/>
          <w:sz w:val="18"/>
          <w:u w:val="single"/>
        </w:rPr>
        <w:t>Section 3.5</w:t>
      </w:r>
      <w:r>
        <w:rPr>
          <w:rFonts w:cs="Arial Narrow" w:ascii="Arial Narrow" w:hAnsi="Arial Narrow"/>
          <w:sz w:val="18"/>
        </w:rPr>
        <w:t xml:space="preserve"> and offset pursuant to </w:t>
      </w:r>
      <w:r>
        <w:rPr>
          <w:rFonts w:cs="Arial Narrow" w:ascii="Arial Narrow" w:hAnsi="Arial Narrow"/>
          <w:sz w:val="18"/>
          <w:u w:val="single"/>
        </w:rPr>
        <w:t>Section 4.4</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each is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 and further provided, that the settlement of any labor dispute to prevent or end any such act of industrial disorder shall be within the sole discretion of the Party involved in such labor dispute, and the requirement that a Party must use reasonable diligence and dispatch to remedy the cause of any Force Majeure shall not apply to labor disputes.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at or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downstream of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NEW YORK, WITHOUT REGARD TO PRINCIPLES OF CONFLICTS OF LAW.  THE PARTIES AGREE THAT THIS AGREEMENT AND ALL TRANSACTIONS SHALL BE ACCEPTED AND FORMED IN THE STATE OF NEW YORK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TBG COGEN PARTNERS</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rFonts w:ascii="Arial Narrow" w:hAnsi="Arial Narrow" w:cs="Arial Narrow"/>
          <w:sz w:val="18"/>
        </w:rPr>
      </w:pPr>
      <w:r>
        <w:rPr>
          <w:rFonts w:cs="Arial Narrow" w:ascii="Arial Narrow" w:hAnsi="Arial Narrow"/>
          <w:sz w:val="18"/>
        </w:rPr>
        <w:t>By:</w:t>
        <w:tab/>
        <w:t>Bethpage Cogeneration Limited Partnership, L.P.,</w:t>
      </w:r>
    </w:p>
    <w:p>
      <w:pPr>
        <w:pStyle w:val="Norma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rFonts w:ascii="Arial Narrow" w:hAnsi="Arial Narrow" w:cs="Arial Narrow"/>
          <w:sz w:val="18"/>
        </w:rPr>
      </w:pPr>
      <w:r>
        <w:rPr>
          <w:rFonts w:cs="Arial Narrow" w:ascii="Arial Narrow" w:hAnsi="Arial Narrow"/>
          <w:sz w:val="18"/>
        </w:rPr>
        <w:tab/>
        <w:t>a general partner</w:t>
      </w:r>
    </w:p>
    <w:p>
      <w:pPr>
        <w:pStyle w:val="Normal"/>
        <w:tabs>
          <w:tab w:val="left" w:pos="-1080" w:leader="none"/>
          <w:tab w:val="left" w:pos="-720" w:leader="none"/>
          <w:tab w:val="left" w:pos="0" w:leader="none"/>
          <w:tab w:val="left" w:pos="720" w:leader="none"/>
          <w:tab w:val="left" w:pos="1440" w:leader="none"/>
          <w:tab w:val="left" w:pos="1890" w:leader="none"/>
          <w:tab w:val="left" w:pos="3420" w:leader="none"/>
          <w:tab w:val="left" w:pos="4320" w:leader="none"/>
          <w:tab w:val="left" w:pos="5040" w:leader="none"/>
          <w:tab w:val="left" w:pos="5760" w:leader="none"/>
          <w:tab w:val="left" w:pos="6480" w:leader="none"/>
          <w:tab w:val="left" w:pos="7200" w:leader="none"/>
          <w:tab w:val="left" w:pos="7650" w:leader="none"/>
          <w:tab w:val="left" w:pos="8640" w:leader="none"/>
        </w:tabs>
        <w:ind w:firstLine="720" w:end="0"/>
        <w:rPr>
          <w:rFonts w:ascii="Arial Narrow" w:hAnsi="Arial Narrow" w:cs="Arial Narrow"/>
          <w:sz w:val="18"/>
        </w:rPr>
      </w:pPr>
      <w:r>
        <w:rPr>
          <w:rFonts w:cs="Arial Narrow" w:ascii="Arial Narrow" w:hAnsi="Arial Narrow"/>
          <w:sz w:val="18"/>
        </w:rPr>
        <w:tab/>
        <w:t>By:</w:t>
        <w:tab/>
        <w:t>SMO Bethpage, Inc.</w:t>
      </w:r>
    </w:p>
    <w:p>
      <w:pPr>
        <w:pStyle w:val="Normal"/>
        <w:tabs>
          <w:tab w:val="left" w:pos="-1080" w:leader="none"/>
          <w:tab w:val="left" w:pos="-720" w:leader="none"/>
          <w:tab w:val="left" w:pos="0" w:leader="none"/>
          <w:tab w:val="left" w:pos="720" w:leader="none"/>
          <w:tab w:val="left" w:pos="1440" w:leader="none"/>
          <w:tab w:val="left" w:pos="1890" w:leader="none"/>
          <w:tab w:val="left" w:pos="3420" w:leader="none"/>
          <w:tab w:val="left" w:pos="4320" w:leader="none"/>
          <w:tab w:val="left" w:pos="5040" w:leader="none"/>
          <w:tab w:val="left" w:pos="5850" w:leader="none"/>
          <w:tab w:val="left" w:pos="6480" w:leader="none"/>
          <w:tab w:val="left" w:pos="7200" w:leader="none"/>
          <w:tab w:val="left" w:pos="7650" w:leader="none"/>
          <w:tab w:val="left" w:pos="8640" w:leader="none"/>
        </w:tabs>
        <w:ind w:firstLine="720" w:end="0"/>
        <w:rPr>
          <w:rFonts w:ascii="Arial Narrow" w:hAnsi="Arial Narrow" w:cs="Arial Narrow"/>
          <w:sz w:val="18"/>
        </w:rPr>
      </w:pPr>
      <w:r>
        <w:rPr>
          <w:rFonts w:cs="Arial Narrow" w:ascii="Arial Narrow" w:hAnsi="Arial Narrow"/>
          <w:sz w:val="18"/>
        </w:rPr>
        <w:tab/>
        <w:tab/>
        <w:t>a general partner</w:t>
      </w:r>
    </w:p>
    <w:p>
      <w:pPr>
        <w:pStyle w:val="Norma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5850" w:leader="none"/>
          <w:tab w:val="left" w:pos="6480" w:leader="none"/>
          <w:tab w:val="left" w:pos="7200" w:leader="none"/>
          <w:tab w:val="left" w:pos="7650" w:leader="none"/>
          <w:tab w:val="left" w:pos="8640" w:leader="none"/>
        </w:tabs>
        <w:ind w:firstLine="720" w:end="0"/>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1890" w:leader="none"/>
          <w:tab w:val="left" w:pos="4050" w:leader="none"/>
          <w:tab w:val="left" w:pos="5400" w:leader="none"/>
          <w:tab w:val="left" w:pos="9360" w:leader="none"/>
        </w:tabs>
        <w:rPr/>
      </w:pPr>
      <w:r>
        <w:rPr>
          <w:rFonts w:cs="Arial Narrow" w:ascii="Arial Narrow" w:hAnsi="Arial Narrow"/>
          <w:sz w:val="18"/>
        </w:rPr>
        <w:tab/>
        <w:tab/>
        <w:t>By:</w:t>
      </w:r>
      <w:r>
        <w:rPr>
          <w:rFonts w:cs="Arial Narrow" w:ascii="Arial Narrow" w:hAnsi="Arial Narrow"/>
          <w:sz w:val="18"/>
          <w:u w:val="single"/>
        </w:rPr>
        <w:tab/>
        <w:tab/>
      </w:r>
    </w:p>
    <w:p>
      <w:pPr>
        <w:pStyle w:val="Normal"/>
        <w:tabs>
          <w:tab w:val="clear" w:pos="720"/>
          <w:tab w:val="left" w:pos="1440" w:leader="none"/>
          <w:tab w:val="left" w:pos="1890" w:leader="none"/>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1440" w:leader="none"/>
          <w:tab w:val="left" w:pos="1890" w:leader="none"/>
          <w:tab w:val="left" w:pos="4050" w:leader="none"/>
          <w:tab w:val="left" w:pos="5400" w:leader="none"/>
          <w:tab w:val="left" w:pos="9360" w:leader="none"/>
        </w:tabs>
        <w:rPr/>
      </w:pPr>
      <w:r>
        <w:rPr>
          <w:rFonts w:cs="Arial Narrow" w:ascii="Arial Narrow" w:hAnsi="Arial Narrow"/>
          <w:sz w:val="18"/>
        </w:rPr>
        <w:tab/>
        <w:tab/>
        <w:t>Printed Name:</w:t>
      </w:r>
      <w:r>
        <w:rPr>
          <w:rFonts w:cs="Arial Narrow" w:ascii="Arial Narrow" w:hAnsi="Arial Narrow"/>
          <w:sz w:val="18"/>
          <w:u w:val="single"/>
        </w:rPr>
        <w:tab/>
        <w:tab/>
      </w:r>
    </w:p>
    <w:p>
      <w:pPr>
        <w:pStyle w:val="Normal"/>
        <w:tabs>
          <w:tab w:val="clear" w:pos="720"/>
          <w:tab w:val="left" w:pos="1440" w:leader="none"/>
          <w:tab w:val="left" w:pos="1890" w:leader="none"/>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1440" w:leader="none"/>
          <w:tab w:val="left" w:pos="1890" w:leader="none"/>
          <w:tab w:val="left" w:pos="4050" w:leader="none"/>
          <w:tab w:val="left" w:pos="5400" w:leader="none"/>
          <w:tab w:val="left" w:pos="9360" w:leader="none"/>
        </w:tabs>
        <w:rPr/>
      </w:pPr>
      <w:r>
        <w:rPr>
          <w:rFonts w:cs="Arial Narrow" w:ascii="Arial Narrow" w:hAnsi="Arial Narrow"/>
          <w:sz w:val="18"/>
        </w:rPr>
        <w:tab/>
        <w:tab/>
        <w:t>Title:</w:t>
      </w:r>
      <w:r>
        <w:rPr>
          <w:rFonts w:cs="Arial Narrow" w:ascii="Arial Narrow" w:hAnsi="Arial Narrow"/>
          <w:sz w:val="18"/>
          <w:u w:val="single"/>
        </w:rPr>
        <w:tab/>
        <w:tab/>
      </w:r>
    </w:p>
    <w:p>
      <w:pPr>
        <w:pStyle w:val="Normal"/>
        <w:tabs>
          <w:tab w:val="clear" w:pos="720"/>
          <w:tab w:val="left" w:pos="2160" w:leader="none"/>
          <w:tab w:val="left" w:pos="3600" w:leader="none"/>
        </w:tabs>
        <w:rPr>
          <w:rFonts w:ascii="Arial Narrow" w:hAnsi="Arial Narrow" w:cs="Arial Narrow"/>
          <w:sz w:val="18"/>
          <w:u w:val="single"/>
        </w:rPr>
      </w:pPr>
      <w:r>
        <w:rPr>
          <w:rFonts w:cs="Arial Narrow" w:ascii="Arial Narrow" w:hAnsi="Arial Narrow"/>
          <w:sz w:val="18"/>
          <w:u w:val="single"/>
        </w:rPr>
      </w:r>
    </w:p>
    <w:p>
      <w:pPr>
        <w:pStyle w:val="Norma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5850" w:leader="none"/>
          <w:tab w:val="left" w:pos="6480" w:leader="none"/>
          <w:tab w:val="left" w:pos="7200" w:leader="none"/>
          <w:tab w:val="left" w:pos="7650" w:leader="none"/>
          <w:tab w:val="left" w:pos="8640" w:leader="none"/>
        </w:tabs>
        <w:rPr>
          <w:rFonts w:ascii="Arial Narrow" w:hAnsi="Arial Narrow" w:cs="Arial Narrow"/>
          <w:sz w:val="18"/>
          <w:u w:val="single"/>
        </w:rPr>
      </w:pPr>
      <w:r>
        <w:rPr>
          <w:rFonts w:cs="Arial Narrow" w:ascii="Arial Narrow" w:hAnsi="Arial Narrow"/>
          <w:sz w:val="18"/>
          <w:u w:val="single"/>
        </w:rPr>
      </w:r>
    </w:p>
    <w:p>
      <w:pPr>
        <w:pStyle w:val="Norma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rFonts w:ascii="Arial Narrow" w:hAnsi="Arial Narrow" w:cs="Arial Narrow"/>
          <w:sz w:val="18"/>
        </w:rPr>
      </w:pPr>
      <w:r>
        <w:rPr>
          <w:rFonts w:cs="Arial Narrow" w:ascii="Arial Narrow" w:hAnsi="Arial Narrow"/>
          <w:sz w:val="18"/>
        </w:rPr>
        <w:t>By:</w:t>
        <w:tab/>
        <w:t>GEC Bethpage Inc.,</w:t>
      </w:r>
    </w:p>
    <w:p>
      <w:pPr>
        <w:pStyle w:val="Norma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rFonts w:ascii="Arial Narrow" w:hAnsi="Arial Narrow" w:cs="Arial Narrow"/>
          <w:sz w:val="18"/>
        </w:rPr>
      </w:pPr>
      <w:r>
        <w:rPr>
          <w:rFonts w:cs="Arial Narrow" w:ascii="Arial Narrow" w:hAnsi="Arial Narrow"/>
          <w:sz w:val="18"/>
        </w:rPr>
        <w:tab/>
        <w:t>a general partner</w:t>
      </w:r>
    </w:p>
    <w:p>
      <w:pPr>
        <w:pStyle w:val="Normal"/>
        <w:tabs>
          <w:tab w:val="clear" w:pos="720"/>
          <w:tab w:val="left" w:pos="144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4050" w:leader="none"/>
          <w:tab w:val="left" w:pos="5400" w:leader="none"/>
          <w:tab w:val="left" w:pos="9360" w:leader="none"/>
        </w:tabs>
        <w:rPr/>
      </w:pPr>
      <w:r>
        <w:rPr>
          <w:rFonts w:cs="Arial Narrow" w:ascii="Arial Narrow" w:hAnsi="Arial Narrow"/>
          <w:sz w:val="18"/>
        </w:rPr>
        <w:tab/>
        <w:t>By:</w:t>
      </w:r>
      <w:r>
        <w:rPr>
          <w:rFonts w:cs="Arial Narrow" w:ascii="Arial Narrow" w:hAnsi="Arial Narrow"/>
          <w:sz w:val="18"/>
          <w:u w:val="single"/>
        </w:rPr>
        <w:tab/>
        <w:tab/>
      </w:r>
    </w:p>
    <w:p>
      <w:pPr>
        <w:pStyle w:val="Normal"/>
        <w:tabs>
          <w:tab w:val="clear" w:pos="720"/>
          <w:tab w:val="left" w:pos="1440" w:leader="none"/>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1440" w:leader="none"/>
          <w:tab w:val="left" w:pos="4050" w:leader="none"/>
          <w:tab w:val="left" w:pos="5400" w:leader="none"/>
          <w:tab w:val="left" w:pos="9360" w:leader="none"/>
        </w:tabs>
        <w:rPr/>
      </w:pPr>
      <w:r>
        <w:rPr>
          <w:rFonts w:cs="Arial Narrow" w:ascii="Arial Narrow" w:hAnsi="Arial Narrow"/>
          <w:sz w:val="18"/>
        </w:rPr>
        <w:tab/>
        <w:t>Printed Name:</w:t>
      </w:r>
      <w:r>
        <w:rPr>
          <w:rFonts w:cs="Arial Narrow" w:ascii="Arial Narrow" w:hAnsi="Arial Narrow"/>
          <w:sz w:val="18"/>
          <w:u w:val="single"/>
        </w:rPr>
        <w:tab/>
        <w:tab/>
      </w:r>
    </w:p>
    <w:p>
      <w:pPr>
        <w:pStyle w:val="Normal"/>
        <w:tabs>
          <w:tab w:val="clear" w:pos="720"/>
          <w:tab w:val="left" w:pos="1440" w:leader="none"/>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1440" w:leader="none"/>
          <w:tab w:val="left" w:pos="4050" w:leader="none"/>
          <w:tab w:val="left" w:pos="5400" w:leader="none"/>
          <w:tab w:val="left" w:pos="9360" w:leader="none"/>
        </w:tabs>
        <w:rPr/>
      </w:pPr>
      <w:r>
        <w:rPr>
          <w:rFonts w:cs="Arial Narrow" w:ascii="Arial Narrow" w:hAnsi="Arial Narrow"/>
          <w:sz w:val="18"/>
        </w:rPr>
        <w:tab/>
        <w:t>Title:</w:t>
      </w:r>
      <w:r>
        <w:rPr>
          <w:rFonts w:cs="Arial Narrow" w:ascii="Arial Narrow" w:hAnsi="Arial Narrow"/>
          <w:sz w:val="18"/>
          <w:u w:val="single"/>
        </w:rPr>
        <w:tab/>
        <w:tab/>
      </w:r>
    </w:p>
    <w:p>
      <w:pPr>
        <w:pStyle w:val="Normal"/>
        <w:tabs>
          <w:tab w:val="clear" w:pos="720"/>
          <w:tab w:val="left" w:pos="3600" w:leader="none"/>
        </w:tabs>
        <w:rPr>
          <w:rFonts w:ascii="Arial Narrow" w:hAnsi="Arial Narrow" w:cs="Arial Narrow"/>
          <w:sz w:val="18"/>
          <w:u w:val="single"/>
        </w:rPr>
      </w:pPr>
      <w:r>
        <w:rPr>
          <w:rFonts w:cs="Arial Narrow" w:ascii="Arial Narrow" w:hAnsi="Arial Narrow"/>
          <w:sz w:val="18"/>
          <w:u w:val="single"/>
        </w:rPr>
      </w:r>
    </w:p>
    <w:p>
      <w:pPr>
        <w:pStyle w:val="Norma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rPr>
          <w:rFonts w:ascii="Arial Narrow" w:hAnsi="Arial Narrow" w:cs="Arial Narrow"/>
          <w:sz w:val="18"/>
          <w:u w:val="single"/>
        </w:rPr>
      </w:pPr>
      <w:r>
        <w:rPr>
          <w:rFonts w:cs="Arial Narrow" w:ascii="Arial Narrow" w:hAnsi="Arial Narrow"/>
          <w:sz w:val="18"/>
          <w:u w:val="single"/>
        </w:rPr>
      </w:r>
    </w:p>
    <w:p>
      <w:pPr>
        <w:pStyle w:val="Norma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rFonts w:ascii="Arial Narrow" w:hAnsi="Arial Narrow" w:cs="Arial Narrow"/>
          <w:sz w:val="18"/>
        </w:rPr>
      </w:pPr>
      <w:r>
        <w:rPr>
          <w:rFonts w:cs="Arial Narrow" w:ascii="Arial Narrow" w:hAnsi="Arial Narrow"/>
          <w:sz w:val="18"/>
        </w:rPr>
        <w:t>By:</w:t>
        <w:tab/>
        <w:t>JMC Bethpage, Inc.,</w:t>
      </w:r>
    </w:p>
    <w:p>
      <w:pPr>
        <w:pStyle w:val="Normal"/>
        <w:tabs>
          <w:tab w:val="left" w:pos="-1080" w:leader="none"/>
          <w:tab w:val="left" w:pos="-720" w:leader="none"/>
          <w:tab w:val="left" w:pos="0" w:leader="none"/>
          <w:tab w:val="left" w:pos="720" w:leader="none"/>
          <w:tab w:val="left" w:pos="1440" w:leader="none"/>
          <w:tab w:val="left" w:pos="2340" w:leader="none"/>
          <w:tab w:val="left" w:pos="3420" w:leader="none"/>
          <w:tab w:val="left" w:pos="4320" w:leader="none"/>
          <w:tab w:val="left" w:pos="5040" w:leader="none"/>
          <w:tab w:val="left" w:pos="6480" w:leader="none"/>
          <w:tab w:val="left" w:pos="7200" w:leader="none"/>
          <w:tab w:val="left" w:pos="7650" w:leader="none"/>
          <w:tab w:val="left" w:pos="8640" w:leader="none"/>
        </w:tabs>
        <w:ind w:firstLine="720" w:end="0"/>
        <w:rPr>
          <w:rFonts w:ascii="Arial Narrow" w:hAnsi="Arial Narrow" w:cs="Arial Narrow"/>
          <w:sz w:val="18"/>
        </w:rPr>
      </w:pPr>
      <w:r>
        <w:rPr>
          <w:rFonts w:cs="Arial Narrow" w:ascii="Arial Narrow" w:hAnsi="Arial Narrow"/>
          <w:sz w:val="18"/>
        </w:rPr>
        <w:tab/>
        <w:t>a general partner</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1440" w:leader="none"/>
          <w:tab w:val="left" w:pos="4050" w:leader="none"/>
          <w:tab w:val="left" w:pos="5400" w:leader="none"/>
          <w:tab w:val="left" w:pos="9360" w:leader="none"/>
        </w:tabs>
        <w:rPr/>
      </w:pPr>
      <w:r>
        <w:rPr>
          <w:rFonts w:cs="Arial Narrow" w:ascii="Arial Narrow" w:hAnsi="Arial Narrow"/>
          <w:sz w:val="18"/>
        </w:rPr>
        <w:tab/>
        <w:t>By:</w:t>
      </w:r>
      <w:r>
        <w:rPr>
          <w:rFonts w:cs="Arial Narrow" w:ascii="Arial Narrow" w:hAnsi="Arial Narrow"/>
          <w:sz w:val="18"/>
          <w:u w:val="single"/>
        </w:rPr>
        <w:tab/>
        <w:tab/>
      </w:r>
    </w:p>
    <w:p>
      <w:pPr>
        <w:pStyle w:val="Normal"/>
        <w:tabs>
          <w:tab w:val="clear" w:pos="720"/>
          <w:tab w:val="left" w:pos="1440" w:leader="none"/>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1440" w:leader="none"/>
          <w:tab w:val="left" w:pos="4050" w:leader="none"/>
          <w:tab w:val="left" w:pos="5400" w:leader="none"/>
          <w:tab w:val="left" w:pos="9360" w:leader="none"/>
        </w:tabs>
        <w:rPr/>
      </w:pPr>
      <w:r>
        <w:rPr>
          <w:rFonts w:cs="Arial Narrow" w:ascii="Arial Narrow" w:hAnsi="Arial Narrow"/>
          <w:sz w:val="18"/>
        </w:rPr>
        <w:tab/>
        <w:t>Printed Name:</w:t>
      </w:r>
      <w:r>
        <w:rPr>
          <w:rFonts w:cs="Arial Narrow" w:ascii="Arial Narrow" w:hAnsi="Arial Narrow"/>
          <w:sz w:val="18"/>
          <w:u w:val="single"/>
        </w:rPr>
        <w:tab/>
        <w:tab/>
      </w:r>
    </w:p>
    <w:p>
      <w:pPr>
        <w:pStyle w:val="Normal"/>
        <w:tabs>
          <w:tab w:val="clear" w:pos="720"/>
          <w:tab w:val="left" w:pos="1440" w:leader="none"/>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1440" w:leader="none"/>
          <w:tab w:val="left" w:pos="4050" w:leader="none"/>
          <w:tab w:val="left" w:pos="5400" w:leader="none"/>
          <w:tab w:val="left" w:pos="9360" w:leader="none"/>
        </w:tabs>
        <w:rPr/>
      </w:pPr>
      <w:r>
        <w:rPr>
          <w:rFonts w:cs="Arial Narrow" w:ascii="Arial Narrow" w:hAnsi="Arial Narrow"/>
          <w:sz w:val="18"/>
        </w:rPr>
        <w:tab/>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 business days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senior unsecured long-term debt unsupported by third party credit enhancement that is rated by Standard &amp; Poor's Corporation below BBB- or (ii) with respect to Customer, Customer ceases to be owned or otherwise controlled by Calpine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a digital or tape recording by either Party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xml:space="preserve">.  Seller represents that all Gas delivered hereunder shall meet or exceed the specifications of Buyer's Transporter. </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if available,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Nassau County, New York,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Eastern District of New York.  The two arbitrators shall select a third arbitrator.  If the two arbitrators chosen by the Parties fail to agree upon the third arbitrator, both or either of the Parties may apply to the senior active United States District Judge for the Eastern District of New York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New York (excluding New York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New York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ind w:start="3600" w:end="0"/>
        <w:jc w:val="both"/>
        <w:rPr>
          <w:rFonts w:ascii="Arial Narrow" w:hAnsi="Arial Narrow" w:cs="Arial Narrow"/>
          <w:b/>
          <w:sz w:val="18"/>
        </w:rPr>
      </w:pPr>
      <w:r>
        <w:rPr>
          <w:rFonts w:cs="Arial Narrow" w:ascii="Arial Narrow" w:hAnsi="Arial Narrow"/>
          <w:b/>
          <w:sz w:val="18"/>
        </w:rPr>
        <w:t>TO COMPANY:</w:t>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P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br w:type="column"/>
      </w:r>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sectPr>
          <w:type w:val="continuous"/>
          <w:pgSz w:w="12240" w:h="15840"/>
          <w:pgMar w:left="720" w:right="720" w:gutter="0" w:header="0" w:top="720" w:footer="720" w:bottom="776"/>
          <w:cols w:num="2" w:space="708" w:equalWidth="true" w:sep="false"/>
          <w:formProt w:val="false"/>
          <w:textDirection w:val="lrTb"/>
          <w:docGrid w:type="default" w:linePitch="360" w:charSpace="0"/>
        </w:sectPr>
      </w:pP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ab/>
        <w:tab/>
        <w:tab/>
        <w:tab/>
        <w:tab/>
        <w:t>TO CUSTOMER:</w:t>
      </w:r>
    </w:p>
    <w:p>
      <w:pPr>
        <w:sectPr>
          <w:type w:val="continuous"/>
          <w:pgSz w:w="12240" w:h="15840"/>
          <w:pgMar w:left="720" w:right="720" w:gutter="0" w:header="0" w:top="720" w:footer="720" w:bottom="776"/>
          <w:formProt w:val="false"/>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b/>
          <w:sz w:val="18"/>
        </w:rPr>
        <w:t>Notices/Correspondence/ Invoices:</w:t>
      </w:r>
    </w:p>
    <w:p>
      <w:pPr>
        <w:pStyle w:val="Normal"/>
        <w:jc w:val="both"/>
        <w:rPr>
          <w:rFonts w:ascii="Arial Narrow" w:hAnsi="Arial Narrow" w:cs="Arial Narrow"/>
          <w:sz w:val="18"/>
        </w:rPr>
      </w:pPr>
      <w:r>
        <w:rPr>
          <w:rFonts w:cs="Arial Narrow" w:ascii="Arial Narrow" w:hAnsi="Arial Narrow"/>
          <w:sz w:val="18"/>
        </w:rPr>
        <w:t>Bethpage Fuel Management, Inc.</w:t>
      </w:r>
    </w:p>
    <w:p>
      <w:pPr>
        <w:pStyle w:val="Normal"/>
        <w:jc w:val="both"/>
        <w:rPr>
          <w:rFonts w:ascii="Arial Narrow" w:hAnsi="Arial Narrow" w:cs="Arial Narrow"/>
          <w:sz w:val="18"/>
        </w:rPr>
      </w:pPr>
      <w:r>
        <w:rPr>
          <w:rFonts w:cs="Arial Narrow" w:ascii="Arial Narrow" w:hAnsi="Arial Narrow"/>
          <w:sz w:val="18"/>
        </w:rPr>
        <w:t>c/o Calpine Eastern Corporation</w:t>
      </w:r>
    </w:p>
    <w:p>
      <w:pPr>
        <w:pStyle w:val="Normal"/>
        <w:jc w:val="both"/>
        <w:rPr/>
      </w:pPr>
      <w:r>
        <w:rPr>
          <w:rFonts w:cs="Arial Narrow" w:ascii="Arial Narrow" w:hAnsi="Arial Narrow"/>
          <w:sz w:val="18"/>
        </w:rPr>
        <w:t>The Pilot House, 2</w:t>
      </w:r>
      <w:r>
        <w:rPr>
          <w:rFonts w:cs="Arial Narrow" w:ascii="Arial Narrow" w:hAnsi="Arial Narrow"/>
          <w:sz w:val="18"/>
          <w:vertAlign w:val="superscript"/>
        </w:rPr>
        <w:t>nd</w:t>
      </w:r>
      <w:r>
        <w:rPr>
          <w:rFonts w:cs="Arial Narrow" w:ascii="Arial Narrow" w:hAnsi="Arial Narrow"/>
          <w:sz w:val="18"/>
        </w:rPr>
        <w:t xml:space="preserve"> Floor</w:t>
      </w:r>
    </w:p>
    <w:p>
      <w:pPr>
        <w:pStyle w:val="Normal"/>
        <w:jc w:val="both"/>
        <w:rPr>
          <w:rFonts w:ascii="Arial Narrow" w:hAnsi="Arial Narrow" w:cs="Arial Narrow"/>
          <w:sz w:val="18"/>
        </w:rPr>
      </w:pPr>
      <w:r>
        <w:rPr>
          <w:rFonts w:cs="Arial Narrow" w:ascii="Arial Narrow" w:hAnsi="Arial Narrow"/>
          <w:sz w:val="18"/>
        </w:rPr>
        <w:t>Lewis Wharf</w:t>
      </w:r>
    </w:p>
    <w:p>
      <w:pPr>
        <w:pStyle w:val="Normal"/>
        <w:jc w:val="both"/>
        <w:rPr>
          <w:rFonts w:ascii="Arial Narrow" w:hAnsi="Arial Narrow" w:cs="Arial Narrow"/>
          <w:sz w:val="18"/>
        </w:rPr>
      </w:pPr>
      <w:r>
        <w:rPr>
          <w:rFonts w:cs="Arial Narrow" w:ascii="Arial Narrow" w:hAnsi="Arial Narrow"/>
          <w:sz w:val="18"/>
        </w:rPr>
        <w:t>Boston, Massachusetts 02110</w:t>
      </w:r>
    </w:p>
    <w:p>
      <w:pPr>
        <w:pStyle w:val="Normal"/>
        <w:jc w:val="both"/>
        <w:rPr>
          <w:rFonts w:ascii="Arial Narrow" w:hAnsi="Arial Narrow" w:cs="Arial Narrow"/>
          <w:sz w:val="18"/>
        </w:rPr>
      </w:pPr>
      <w:r>
        <w:rPr>
          <w:rFonts w:cs="Arial Narrow" w:ascii="Arial Narrow" w:hAnsi="Arial Narrow"/>
          <w:sz w:val="18"/>
        </w:rPr>
        <w:t>Facsimile No. 617-723-7635</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With copy to:</w:t>
      </w:r>
    </w:p>
    <w:p>
      <w:pPr>
        <w:pStyle w:val="Normal"/>
        <w:jc w:val="both"/>
        <w:rPr>
          <w:rFonts w:ascii="Arial Narrow" w:hAnsi="Arial Narrow" w:cs="Arial Narrow"/>
          <w:sz w:val="18"/>
        </w:rPr>
      </w:pPr>
      <w:r>
        <w:rPr>
          <w:rFonts w:cs="Arial Narrow" w:ascii="Arial Narrow" w:hAnsi="Arial Narrow"/>
          <w:sz w:val="18"/>
        </w:rPr>
        <w:t>TBG Cogen Partners</w:t>
      </w:r>
    </w:p>
    <w:p>
      <w:pPr>
        <w:pStyle w:val="Normal"/>
        <w:jc w:val="both"/>
        <w:rPr>
          <w:rFonts w:ascii="Arial Narrow" w:hAnsi="Arial Narrow" w:cs="Arial Narrow"/>
          <w:sz w:val="18"/>
        </w:rPr>
      </w:pPr>
      <w:r>
        <w:rPr>
          <w:rFonts w:cs="Arial Narrow" w:ascii="Arial Narrow" w:hAnsi="Arial Narrow"/>
          <w:sz w:val="18"/>
        </w:rPr>
        <w:t>939 South Broadway</w:t>
      </w:r>
    </w:p>
    <w:p>
      <w:pPr>
        <w:pStyle w:val="Normal"/>
        <w:jc w:val="both"/>
        <w:rPr>
          <w:rFonts w:ascii="Arial Narrow" w:hAnsi="Arial Narrow" w:cs="Arial Narrow"/>
          <w:sz w:val="18"/>
        </w:rPr>
      </w:pPr>
      <w:r>
        <w:rPr>
          <w:rFonts w:cs="Arial Narrow" w:ascii="Arial Narrow" w:hAnsi="Arial Narrow"/>
          <w:sz w:val="18"/>
        </w:rPr>
        <w:t>Hicksville, New York 11801-5032</w:t>
      </w:r>
    </w:p>
    <w:p>
      <w:pPr>
        <w:pStyle w:val="Normal"/>
        <w:jc w:val="both"/>
        <w:rPr>
          <w:rFonts w:ascii="Arial Narrow" w:hAnsi="Arial Narrow" w:cs="Arial Narrow"/>
          <w:sz w:val="18"/>
        </w:rPr>
      </w:pPr>
      <w:r>
        <w:rPr>
          <w:rFonts w:cs="Arial Narrow" w:ascii="Arial Narrow" w:hAnsi="Arial Narrow"/>
          <w:sz w:val="18"/>
        </w:rPr>
        <w:t>Attn: Plant Manager</w:t>
      </w:r>
    </w:p>
    <w:p>
      <w:pPr>
        <w:pStyle w:val="Normal"/>
        <w:jc w:val="both"/>
        <w:rPr>
          <w:rFonts w:ascii="Arial Narrow" w:hAnsi="Arial Narrow" w:cs="Arial Narrow"/>
          <w:sz w:val="18"/>
        </w:rPr>
      </w:pPr>
      <w:r>
        <w:rPr>
          <w:rFonts w:cs="Arial Narrow" w:ascii="Arial Narrow" w:hAnsi="Arial Narrow"/>
          <w:sz w:val="18"/>
        </w:rPr>
        <w:t>Facsimile No. 516-349-8344</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br w:type="column"/>
      </w: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TBG Cogen Partners</w:t>
      </w:r>
    </w:p>
    <w:p>
      <w:pPr>
        <w:pStyle w:val="Normal"/>
        <w:jc w:val="both"/>
        <w:rPr>
          <w:rFonts w:ascii="Arial Narrow" w:hAnsi="Arial Narrow" w:cs="Arial Narrow"/>
          <w:sz w:val="18"/>
        </w:rPr>
      </w:pPr>
      <w:r>
        <w:rPr>
          <w:rFonts w:cs="Arial Narrow" w:ascii="Arial Narrow" w:hAnsi="Arial Narrow"/>
          <w:sz w:val="18"/>
        </w:rPr>
        <w:t>Union Bank of California</w:t>
      </w:r>
    </w:p>
    <w:p>
      <w:pPr>
        <w:pStyle w:val="Normal"/>
        <w:jc w:val="both"/>
        <w:rPr>
          <w:rFonts w:ascii="Arial Narrow" w:hAnsi="Arial Narrow" w:cs="Arial Narrow"/>
          <w:i/>
          <w:i/>
          <w:iCs/>
          <w:sz w:val="18"/>
        </w:rPr>
      </w:pPr>
      <w:r>
        <w:rPr>
          <w:rFonts w:cs="Arial Narrow" w:ascii="Arial Narrow" w:hAnsi="Arial Narrow"/>
          <w:i/>
          <w:iCs/>
          <w:sz w:val="18"/>
        </w:rPr>
        <w:t>Acct # 1870016103</w:t>
      </w:r>
    </w:p>
    <w:p>
      <w:pPr>
        <w:pStyle w:val="Heading4"/>
        <w:ind w:hanging="0" w:start="0"/>
        <w:rPr>
          <w:b/>
          <w:bCs/>
          <w:i w:val="false"/>
          <w:i w:val="false"/>
          <w:iCs w:val="false"/>
        </w:rPr>
      </w:pPr>
      <w:r>
        <w:rPr/>
        <w:t>ABA # 122000496</w:t>
      </w:r>
    </w:p>
    <w:p>
      <w:pPr>
        <w:pStyle w:val="Normal"/>
        <w:rPr>
          <w:rFonts w:ascii="Arial Narrow" w:hAnsi="Arial Narrow" w:cs="Arial Narrow"/>
          <w:b/>
          <w:bCs/>
          <w:i/>
          <w:i/>
          <w:iCs/>
          <w:sz w:val="18"/>
        </w:rPr>
      </w:pPr>
      <w:r>
        <w:rPr>
          <w:rFonts w:cs="Arial Narrow" w:ascii="Arial Narrow" w:hAnsi="Arial Narrow"/>
          <w:b/>
          <w:bCs/>
          <w:i/>
          <w:iCs/>
          <w:sz w:val="18"/>
        </w:rPr>
      </w:r>
    </w:p>
    <w:p>
      <w:pPr>
        <w:pStyle w:val="Normal"/>
        <w:jc w:val="both"/>
        <w:rPr>
          <w:rFonts w:ascii="Arial Narrow" w:hAnsi="Arial Narrow" w:cs="Arial Narrow"/>
          <w:sz w:val="18"/>
        </w:rPr>
      </w:pPr>
      <w:r>
        <w:rPr>
          <w:rFonts w:cs="Arial Narrow" w:ascii="Arial Narrow" w:hAnsi="Arial Narrow"/>
          <w:b/>
          <w:sz w:val="18"/>
        </w:rPr>
        <w:t>Nominations/Confirmations:</w:t>
      </w:r>
    </w:p>
    <w:p>
      <w:pPr>
        <w:pStyle w:val="Normal"/>
        <w:rPr>
          <w:rFonts w:ascii="Arial Narrow" w:hAnsi="Arial Narrow" w:cs="Arial Narrow"/>
          <w:sz w:val="18"/>
        </w:rPr>
      </w:pPr>
      <w:r>
        <w:rPr>
          <w:rFonts w:cs="Arial Narrow" w:ascii="Arial Narrow" w:hAnsi="Arial Narrow"/>
          <w:sz w:val="18"/>
        </w:rPr>
        <w:t>Calpine Energy Services, L.P.</w:t>
      </w:r>
    </w:p>
    <w:p>
      <w:pPr>
        <w:pStyle w:val="Normal"/>
        <w:rPr>
          <w:rFonts w:ascii="Arial Narrow" w:hAnsi="Arial Narrow" w:cs="Arial Narrow"/>
          <w:sz w:val="18"/>
        </w:rPr>
      </w:pPr>
      <w:r>
        <w:rPr>
          <w:rFonts w:cs="Arial Narrow" w:ascii="Arial Narrow" w:hAnsi="Arial Narrow"/>
          <w:sz w:val="18"/>
        </w:rPr>
        <w:t>Gas Scheduling</w:t>
      </w:r>
    </w:p>
    <w:p>
      <w:pPr>
        <w:pStyle w:val="Normal"/>
        <w:rPr>
          <w:rFonts w:ascii="Arial Narrow" w:hAnsi="Arial Narrow" w:cs="Arial Narrow"/>
          <w:sz w:val="18"/>
        </w:rPr>
      </w:pPr>
      <w:r>
        <w:rPr>
          <w:rFonts w:cs="Arial Narrow" w:ascii="Arial Narrow" w:hAnsi="Arial Narrow"/>
          <w:sz w:val="18"/>
        </w:rPr>
        <w:t>700 Louisiana</w:t>
      </w:r>
    </w:p>
    <w:p>
      <w:pPr>
        <w:pStyle w:val="Normal"/>
        <w:rPr>
          <w:rFonts w:ascii="Arial Narrow" w:hAnsi="Arial Narrow" w:cs="Arial Narrow"/>
          <w:sz w:val="18"/>
        </w:rPr>
      </w:pPr>
      <w:r>
        <w:rPr>
          <w:rFonts w:cs="Arial Narrow" w:ascii="Arial Narrow" w:hAnsi="Arial Narrow"/>
          <w:sz w:val="18"/>
        </w:rPr>
        <w:t>Suite 2700</w:t>
      </w:r>
    </w:p>
    <w:p>
      <w:pPr>
        <w:pStyle w:val="Normal"/>
        <w:rPr>
          <w:rFonts w:ascii="Arial Narrow" w:hAnsi="Arial Narrow" w:cs="Arial Narrow"/>
          <w:b/>
          <w:bCs/>
          <w:i/>
          <w:i/>
          <w:iCs/>
          <w:sz w:val="18"/>
        </w:rPr>
      </w:pPr>
      <w:r>
        <w:rPr>
          <w:rFonts w:cs="Arial Narrow" w:ascii="Arial Narrow" w:hAnsi="Arial Narrow"/>
          <w:sz w:val="18"/>
        </w:rPr>
        <w:t>Houston, Texas  77002</w:t>
      </w:r>
    </w:p>
    <w:p>
      <w:pPr>
        <w:sectPr>
          <w:type w:val="continuous"/>
          <w:pgSz w:w="12240" w:h="15840"/>
          <w:pgMar w:left="720" w:right="720" w:gutter="0" w:header="0" w:top="720" w:footer="720" w:bottom="776"/>
          <w:cols w:num="2" w:space="708" w:equalWidth="true" w:sep="false"/>
          <w:formProt w:val="false"/>
          <w:textDirection w:val="lrTb"/>
          <w:docGrid w:type="default" w:linePitch="360" w:charSpace="0"/>
        </w:sectPr>
      </w:pPr>
    </w:p>
    <w:p>
      <w:pPr>
        <w:pStyle w:val="Normal"/>
        <w:rPr>
          <w:rFonts w:ascii="Arial Narrow" w:hAnsi="Arial Narrow" w:cs="Arial Narrow"/>
          <w:b/>
          <w:sz w:val="18"/>
        </w:rPr>
      </w:pPr>
      <w:r>
        <w:rPr>
          <w:rFonts w:cs="Arial Narrow" w:ascii="Arial Narrow" w:hAnsi="Arial Narrow"/>
          <w:sz w:val="18"/>
        </w:rPr>
        <w:t>]</w:t>
      </w:r>
    </w:p>
    <w:p>
      <w:pPr>
        <w:sectPr>
          <w:type w:val="continuous"/>
          <w:pgSz w:w="12240" w:h="15840"/>
          <w:pgMar w:left="720" w:right="720" w:gutter="0" w:header="0" w:top="720" w:footer="720" w:bottom="776"/>
          <w:formProt w:val="false"/>
          <w:textDirection w:val="lrTb"/>
          <w:docGrid w:type="default" w:linePitch="360" w:charSpace="0"/>
        </w:sectPr>
      </w:pPr>
    </w:p>
    <w:p>
      <w:pPr>
        <w:pStyle w:val="Normal"/>
        <w:jc w:val="both"/>
        <w:rPr>
          <w:rFonts w:ascii="Arial Narrow" w:hAnsi="Arial Narrow" w:cs="Arial Narrow"/>
          <w:b/>
          <w:sz w:val="18"/>
        </w:rPr>
      </w:pPr>
      <w:r>
        <w:rPr>
          <w:rFonts w:cs="Arial Narrow" w:ascii="Arial Narrow" w:hAnsi="Arial Narrow"/>
          <w:b/>
          <w:sz w:val="18"/>
        </w:rPr>
      </w:r>
    </w:p>
    <w:p>
      <w:pPr>
        <w:pStyle w:val="Heading3"/>
        <w:ind w:hanging="0" w:start="0"/>
        <w:rPr/>
      </w:pPr>
      <w:r>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TBG Cogen Partners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TBG Cogen Partners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center"/>
        <w:rPr/>
      </w:pPr>
      <w:r>
        <w:rPr/>
        <w:t xml:space="preserve"> </w:t>
      </w:r>
    </w:p>
    <w:sectPr>
      <w:footerReference w:type="default" r:id="rId14"/>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
    <w:qFormat/>
    <w:pPr>
      <w:keepNext w:val="true"/>
      <w:numPr>
        <w:ilvl w:val="2"/>
        <w:numId w:val="1"/>
      </w:numPr>
      <w:jc w:val="center"/>
      <w:outlineLvl w:val="2"/>
    </w:pPr>
    <w:rPr>
      <w:rFonts w:ascii="Arial Narrow" w:hAnsi="Arial Narrow" w:cs="Arial Narrow"/>
      <w:b/>
      <w:sz w:val="18"/>
    </w:rPr>
  </w:style>
  <w:style w:type="paragraph" w:styleId="Heading4">
    <w:name w:val="heading 4"/>
    <w:basedOn w:val="Normal"/>
    <w:next w:val="Normal"/>
    <w:qFormat/>
    <w:pPr>
      <w:keepNext w:val="true"/>
      <w:numPr>
        <w:ilvl w:val="3"/>
        <w:numId w:val="1"/>
      </w:numPr>
      <w:jc w:val="both"/>
      <w:outlineLvl w:val="3"/>
    </w:pPr>
    <w:rPr>
      <w:rFonts w:ascii="Arial Narrow" w:hAnsi="Arial Narrow" w:cs="Arial Narrow"/>
      <w:i/>
      <w:iCs/>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3600" w:leader="none"/>
      </w:tabs>
    </w:pPr>
    <w:rPr>
      <w:rFonts w:ascii="Arial Narrow" w:hAnsi="Arial Narrow" w:cs="Arial Narrow"/>
      <w:b/>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2001-10-26T13:51:00Z</dcterms:created>
  <dc:creator>dperlin</dc:creator>
  <dc:description/>
  <dc:language>en-CA</dc:language>
  <cp:lastModifiedBy>David T. Metcalfe</cp:lastModifiedBy>
  <cp:lastPrinted>2001-08-02T10:04:00Z</cp:lastPrinted>
  <dcterms:modified xsi:type="dcterms:W3CDTF">2001-10-26T19:26:00Z</dcterms:modified>
  <cp:revision>18</cp:revision>
  <dc:subject/>
  <dc:title>ENFOLIO® MASTER FIRM PURCHASE/SALE AGREEMENT</dc:title>
</cp:coreProperties>
</file>