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jc w:val="center"/>
        <w:rPr/>
      </w:pPr>
      <w:r>
        <w:rPr/>
        <w:t>NYSE Suspends Trading in Enron Corp. and Related Securities</w:t>
      </w:r>
    </w:p>
    <w:p>
      <w:pPr>
        <w:pStyle w:val="BodyText"/>
        <w:spacing w:lineRule="auto" w:line="360"/>
        <w:jc w:val="center"/>
        <w:rPr/>
      </w:pPr>
      <w:r>
        <w:rPr/>
        <w:t>And Moves to Remove from the List</w:t>
      </w:r>
    </w:p>
    <w:p>
      <w:pPr>
        <w:pStyle w:val="BodyText"/>
        <w:spacing w:lineRule="auto" w:line="360"/>
        <w:jc w:val="center"/>
        <w:rPr/>
      </w:pPr>
      <w:r>
        <w:rPr/>
      </w:r>
    </w:p>
    <w:p>
      <w:pPr>
        <w:pStyle w:val="BodyText"/>
        <w:rPr/>
      </w:pPr>
      <w:r>
        <w:rPr/>
        <w:t>NEW YORK, January 15, 2002-- The New York Stock Exchange announced today that it determined that the common stock of Enron Corp. (the "Company") and its related securities, including the 7% Exchangeable Notes due July 31, 2002, and the $10.50 Cumulative Second Preferred Convertible Stock-- ticker symbols ENE, EXG, ENE Pr J, respectively-- as well as the derivative securities of Enron Capital Trust I, Enron Capital Trust II, Enron Capital Resources, L.P., and Enron Capital LLC-- ticker symbols ENE Pr T, ENE Pr  R, ENE Pr A and ENE Pr C, respectively-- should be suspended immediately.  The Company has a right to a review of this determination by a Committee of the Board of Directors of the Exchange (the “Committee”). Application to the Securities and Exchange Commission to delist the issues will be made upon the completion of applicable procedures, including any appeal by the Company of the NYSE staff’s decision.</w:t>
      </w:r>
    </w:p>
    <w:p>
      <w:pPr>
        <w:pStyle w:val="Normal"/>
        <w:rPr>
          <w:sz w:val="24"/>
        </w:rPr>
      </w:pPr>
      <w:r>
        <w:rPr>
          <w:sz w:val="24"/>
        </w:rPr>
      </w:r>
    </w:p>
    <w:p>
      <w:pPr>
        <w:pStyle w:val="BodyText"/>
        <w:rPr/>
      </w:pPr>
      <w:r>
        <w:rPr/>
        <w:t xml:space="preserve">The Exchange, as previously announced on December 3, 2001 and January 11, 2002, has continued to monitor events at the Company.  The Exchange notes that today’s action is being taken due the expected protracted nature of the Company’s bankruptcy process and the uncertainty at this time as to the timing and outcome of this process as well as the ultimate affect on the Company’s common shareholders.  </w:t>
      </w:r>
    </w:p>
    <w:p>
      <w:pPr>
        <w:pStyle w:val="BodyText"/>
        <w:rPr/>
      </w:pPr>
      <w:r>
        <w:rPr/>
      </w:r>
    </w:p>
    <w:p>
      <w:pPr>
        <w:pStyle w:val="BodyText"/>
        <w:rPr/>
      </w:pPr>
      <w:r>
        <w:rPr/>
        <w:t>The Exchange notes that it may make an appraisal of, and determine on an individual basis, the suitability for continued listing of an issue in light of all pertinent facts whenever it deems such action appropriate, and that the Exchange may, at any time, suspend a security if it believes that continued dealings in the security on the NYSE are not advisable.  In light of all the circumstances presented by the Company and its bankruptcy, including the fact that the Company has traded at a price level deemed abnormally low and has recently fallen below the NYSE’s continued listing criteria relating to: average closing price of a security less than $1.00 over a consecutive 30 trading-day period, the Exchange has determined that the Company’s securities are no longer suitable for trading on the NYSE.</w:t>
      </w:r>
    </w:p>
    <w:p>
      <w:pPr>
        <w:pStyle w:val="BodyText"/>
        <w:rPr/>
      </w:pPr>
      <w:r>
        <w:rPr/>
      </w:r>
    </w:p>
    <w:p>
      <w:pPr>
        <w:pStyle w:val="BodyText"/>
        <w:rPr/>
      </w:pPr>
      <w:r>
        <w:rPr/>
        <w:t xml:space="preserve">For further information contact:  Mark Palmer   (713) 853-4738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paragraph" w:styleId="BodyText3">
    <w:name w:val="Body Text 3"/>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2002-01-11T11:35:00Z</dcterms:created>
  <dc:creator>Rober J. Maher</dc:creator>
  <dc:description/>
  <dc:language>en-CA</dc:language>
  <cp:lastModifiedBy>Liz Ball</cp:lastModifiedBy>
  <cp:lastPrinted>2002-01-15T08:51:00Z</cp:lastPrinted>
  <dcterms:modified xsi:type="dcterms:W3CDTF">2002-01-15T11:26:00Z</dcterms:modified>
  <cp:revision>15</cp:revision>
  <dc:subject/>
  <dc:title>NYSE Moves to Remove XYZ, Inc</dc:title>
</cp:coreProperties>
</file>