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0"/>
        </w:rPr>
      </w:pPr>
      <w:r>
        <w:rPr>
          <w:b/>
          <w:sz w:val="20"/>
        </w:rPr>
        <w:t>PRIVILEGED AND CONFIDENTIAL</w:t>
      </w:r>
    </w:p>
    <w:p>
      <w:pPr>
        <w:pStyle w:val="Normal"/>
        <w:rPr>
          <w:b/>
          <w:sz w:val="20"/>
        </w:rPr>
      </w:pPr>
      <w:r>
        <w:rPr>
          <w:b/>
          <w:sz w:val="20"/>
        </w:rPr>
        <w:t>ATTORNEY-CLIENT COMMUNICATION</w:t>
      </w:r>
    </w:p>
    <w:p>
      <w:pPr>
        <w:pStyle w:val="Normal"/>
        <w:rPr>
          <w:b/>
          <w:sz w:val="20"/>
        </w:rPr>
      </w:pPr>
      <w:r>
        <w:rPr>
          <w:b/>
          <w:sz w:val="20"/>
        </w:rPr>
        <w:t>ATTORNEY WORK PRODUCT</w:t>
      </w:r>
    </w:p>
    <w:p>
      <w:pPr>
        <w:pStyle w:val="Normal"/>
        <w:rPr>
          <w:b/>
          <w:sz w:val="20"/>
        </w:rPr>
      </w:pPr>
      <w:r>
        <w:rPr>
          <w:b/>
          <w:sz w:val="20"/>
        </w:rPr>
      </w:r>
    </w:p>
    <w:p>
      <w:pPr>
        <w:pStyle w:val="HeadingCentered"/>
        <w:keepNext w:val="false"/>
        <w:keepLines w:val="false"/>
        <w:spacing w:before="0" w:after="480"/>
        <w:rPr/>
      </w:pPr>
      <w:r>
        <w:rPr/>
        <w:t>MEMORANDUM</w:t>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jc w:val="both"/>
              <w:rPr>
                <w:b/>
              </w:rPr>
            </w:pPr>
            <w:r>
              <w:rPr>
                <w:b/>
              </w:rPr>
              <w:t>TO:</w:t>
            </w:r>
          </w:p>
        </w:tc>
        <w:tc>
          <w:tcPr>
            <w:tcW w:w="8118" w:type="dxa"/>
            <w:tcBorders/>
          </w:tcPr>
          <w:p>
            <w:pPr>
              <w:pStyle w:val="Normal"/>
              <w:ind w:start="-18" w:end="0"/>
              <w:jc w:val="both"/>
              <w:rPr/>
            </w:pPr>
            <w:r>
              <w:rPr/>
              <w:t>Nancy Corbet</w:t>
            </w:r>
          </w:p>
        </w:tc>
      </w:tr>
      <w:tr>
        <w:trPr/>
        <w:tc>
          <w:tcPr>
            <w:tcW w:w="1458" w:type="dxa"/>
            <w:tcBorders/>
          </w:tcPr>
          <w:p>
            <w:pPr>
              <w:pStyle w:val="Normal"/>
              <w:snapToGrid w:val="false"/>
              <w:jc w:val="both"/>
              <w:rPr>
                <w:b/>
              </w:rPr>
            </w:pPr>
            <w:r>
              <w:rPr>
                <w:b/>
              </w:rPr>
            </w:r>
          </w:p>
        </w:tc>
        <w:tc>
          <w:tcPr>
            <w:tcW w:w="8118" w:type="dxa"/>
            <w:tcBorders/>
          </w:tcPr>
          <w:p>
            <w:pPr>
              <w:pStyle w:val="Normal"/>
              <w:snapToGrid w:val="false"/>
              <w:ind w:start="-18" w:end="0"/>
              <w:jc w:val="both"/>
              <w:rPr>
                <w:b/>
              </w:rPr>
            </w:pPr>
            <w:r>
              <w:rPr>
                <w:b/>
              </w:rPr>
            </w:r>
          </w:p>
        </w:tc>
      </w:tr>
      <w:tr>
        <w:trPr/>
        <w:tc>
          <w:tcPr>
            <w:tcW w:w="1458" w:type="dxa"/>
            <w:tcBorders/>
          </w:tcPr>
          <w:p>
            <w:pPr>
              <w:pStyle w:val="Normal"/>
              <w:jc w:val="both"/>
              <w:rPr>
                <w:b/>
              </w:rPr>
            </w:pPr>
            <w:r>
              <w:rPr>
                <w:b/>
              </w:rPr>
              <w:t>FROM:</w:t>
            </w:r>
          </w:p>
        </w:tc>
        <w:tc>
          <w:tcPr>
            <w:tcW w:w="8118" w:type="dxa"/>
            <w:tcBorders/>
          </w:tcPr>
          <w:p>
            <w:pPr>
              <w:pStyle w:val="Normal"/>
              <w:ind w:start="-18" w:end="0"/>
              <w:jc w:val="both"/>
              <w:rPr/>
            </w:pPr>
            <w:r>
              <w:rPr/>
              <w:t>Akin Gump</w:t>
            </w:r>
          </w:p>
        </w:tc>
      </w:tr>
      <w:tr>
        <w:trPr/>
        <w:tc>
          <w:tcPr>
            <w:tcW w:w="1458" w:type="dxa"/>
            <w:tcBorders/>
          </w:tcPr>
          <w:p>
            <w:pPr>
              <w:pStyle w:val="Normal"/>
              <w:snapToGrid w:val="false"/>
              <w:jc w:val="both"/>
              <w:rPr>
                <w:b/>
              </w:rPr>
            </w:pPr>
            <w:r>
              <w:rPr>
                <w:b/>
              </w:rPr>
            </w:r>
          </w:p>
        </w:tc>
        <w:tc>
          <w:tcPr>
            <w:tcW w:w="8118" w:type="dxa"/>
            <w:tcBorders/>
          </w:tcPr>
          <w:p>
            <w:pPr>
              <w:pStyle w:val="Normal"/>
              <w:snapToGrid w:val="false"/>
              <w:jc w:val="both"/>
              <w:rPr>
                <w:b/>
              </w:rPr>
            </w:pPr>
            <w:r>
              <w:rPr>
                <w:b/>
              </w:rPr>
            </w:r>
          </w:p>
        </w:tc>
      </w:tr>
      <w:tr>
        <w:trPr/>
        <w:tc>
          <w:tcPr>
            <w:tcW w:w="1458" w:type="dxa"/>
            <w:tcBorders/>
          </w:tcPr>
          <w:p>
            <w:pPr>
              <w:pStyle w:val="Normal"/>
              <w:jc w:val="both"/>
              <w:rPr>
                <w:b/>
              </w:rPr>
            </w:pPr>
            <w:r>
              <w:rPr>
                <w:b/>
              </w:rPr>
              <w:t>DATE:</w:t>
            </w:r>
          </w:p>
        </w:tc>
        <w:tc>
          <w:tcPr>
            <w:tcW w:w="8118" w:type="dxa"/>
            <w:tcBorders/>
          </w:tcPr>
          <w:p>
            <w:pPr>
              <w:pStyle w:val="Normal"/>
              <w:jc w:val="both"/>
              <w:rPr/>
            </w:pPr>
            <w:r>
              <w:rPr/>
              <w:t>February 7, 2001</w:t>
            </w:r>
          </w:p>
        </w:tc>
      </w:tr>
      <w:tr>
        <w:trPr/>
        <w:tc>
          <w:tcPr>
            <w:tcW w:w="1458" w:type="dxa"/>
            <w:tcBorders/>
          </w:tcPr>
          <w:p>
            <w:pPr>
              <w:pStyle w:val="Normal"/>
              <w:snapToGrid w:val="false"/>
              <w:jc w:val="both"/>
              <w:rPr>
                <w:b/>
              </w:rPr>
            </w:pPr>
            <w:r>
              <w:rPr>
                <w:b/>
              </w:rPr>
            </w:r>
          </w:p>
        </w:tc>
        <w:tc>
          <w:tcPr>
            <w:tcW w:w="8118" w:type="dxa"/>
            <w:tcBorders/>
          </w:tcPr>
          <w:p>
            <w:pPr>
              <w:pStyle w:val="Normal"/>
              <w:snapToGrid w:val="false"/>
              <w:jc w:val="both"/>
              <w:rPr>
                <w:b/>
              </w:rPr>
            </w:pPr>
            <w:r>
              <w:rPr>
                <w:b/>
              </w:rPr>
            </w:r>
          </w:p>
        </w:tc>
      </w:tr>
      <w:tr>
        <w:trPr/>
        <w:tc>
          <w:tcPr>
            <w:tcW w:w="1458" w:type="dxa"/>
            <w:tcBorders/>
          </w:tcPr>
          <w:p>
            <w:pPr>
              <w:pStyle w:val="Normal"/>
              <w:jc w:val="both"/>
              <w:rPr>
                <w:b/>
              </w:rPr>
            </w:pPr>
            <w:r>
              <w:rPr>
                <w:b/>
              </w:rPr>
              <w:t>RE:</w:t>
            </w:r>
          </w:p>
        </w:tc>
        <w:tc>
          <w:tcPr>
            <w:tcW w:w="8118" w:type="dxa"/>
            <w:tcBorders/>
          </w:tcPr>
          <w:p>
            <w:pPr>
              <w:pStyle w:val="Normal"/>
              <w:jc w:val="both"/>
              <w:rPr/>
            </w:pPr>
            <w:r>
              <w:rPr/>
              <w:t>Jurisdictional Status of Processing and Conditioning Facilities</w:t>
            </w:r>
          </w:p>
        </w:tc>
      </w:tr>
      <w:tr>
        <w:trPr/>
        <w:tc>
          <w:tcPr>
            <w:tcW w:w="1458" w:type="dxa"/>
            <w:tcBorders>
              <w:bottom w:val="single" w:sz="4" w:space="0" w:color="000000"/>
            </w:tcBorders>
          </w:tcPr>
          <w:p>
            <w:pPr>
              <w:pStyle w:val="Normal"/>
              <w:snapToGrid w:val="false"/>
              <w:jc w:val="both"/>
              <w:rPr>
                <w:b/>
              </w:rPr>
            </w:pPr>
            <w:r>
              <w:rPr>
                <w:b/>
              </w:rPr>
            </w:r>
          </w:p>
        </w:tc>
        <w:tc>
          <w:tcPr>
            <w:tcW w:w="8118" w:type="dxa"/>
            <w:tcBorders>
              <w:bottom w:val="single" w:sz="4" w:space="0" w:color="000000"/>
            </w:tcBorders>
          </w:tcPr>
          <w:p>
            <w:pPr>
              <w:pStyle w:val="Normal"/>
              <w:snapToGrid w:val="false"/>
              <w:jc w:val="both"/>
              <w:rPr>
                <w:b/>
              </w:rPr>
            </w:pPr>
            <w:r>
              <w:rPr>
                <w:b/>
              </w:rPr>
            </w:r>
          </w:p>
        </w:tc>
      </w:tr>
    </w:tbl>
    <w:p>
      <w:pPr>
        <w:pStyle w:val="Normal"/>
        <w:rPr/>
      </w:pPr>
      <w:r>
        <w:rPr/>
      </w:r>
    </w:p>
    <w:p>
      <w:pPr>
        <w:pStyle w:val="Normal"/>
        <w:rPr/>
      </w:pPr>
      <w:r>
        <w:rPr/>
        <w:tab/>
        <w:t xml:space="preserve">This responds to your request that a memorandum be prepared that addresses whether Enron LNG Marketing LLC (“Enron”) can construct and operate a facility at the Elba Island Terminal owned by Southern LNG Inc. (“SLNG”) to reduce the heat content of the LNG without thereby becoming subject to the jurisdiction of the Federal Energy Regulatory Commission.  As discussed below, the FERC generally disclaims NGA certificate jurisdiction over gas “processing” plants used to remove liquid or liquefiable hydrocarbons from a gas stream primarily for sale, </w:t>
      </w:r>
      <w:r>
        <w:rPr>
          <w:i/>
        </w:rPr>
        <w:t xml:space="preserve">i.e., </w:t>
      </w:r>
      <w:r>
        <w:rPr/>
        <w:t>when the purpose is to extract the liquids and liquefiables for their economic value.  In contrast, the FERC asserts its NGA jurisdiction over plants used to “treat” or “condition” natural gas for purposes of making that gas suitable for safe and efficient pipeline transportation or for purposes of conforming gas to the design specifications of a particular pipeline system.  As further discussed, however, there is no “bright line” test to differentiate processing from treating, since a single plant can be performing both functions.  Rather, the Commission uses a “primary function” test to determine whether a particular plant is used to process gas and is therefore non-jurisdictional or, alternatively, is treating the gas as part of a jurisdictional transportation service.</w:t>
      </w:r>
    </w:p>
    <w:p>
      <w:pPr>
        <w:pStyle w:val="Normal"/>
        <w:jc w:val="both"/>
        <w:rPr/>
      </w:pPr>
      <w:r>
        <w:rPr/>
      </w:r>
    </w:p>
    <w:p>
      <w:pPr>
        <w:pStyle w:val="Normal"/>
        <w:jc w:val="both"/>
        <w:rPr/>
      </w:pPr>
      <w:r>
        <w:rPr/>
        <w:tab/>
        <w:t>A.</w:t>
        <w:tab/>
        <w:t>Gas Processing</w:t>
      </w:r>
    </w:p>
    <w:p>
      <w:pPr>
        <w:pStyle w:val="Normal"/>
        <w:jc w:val="both"/>
        <w:rPr/>
      </w:pPr>
      <w:r>
        <w:rPr/>
      </w:r>
    </w:p>
    <w:p>
      <w:pPr>
        <w:pStyle w:val="Normal"/>
        <w:jc w:val="both"/>
        <w:rPr/>
      </w:pPr>
      <w:r>
        <w:rPr/>
        <w:tab/>
        <w:t xml:space="preserve">The FERC generally defines “gas processing” as “the removal of constituents from the gas stream (e.g., liquefiable hydrocarbons, helium, etc.) which have a higher economic value when isolated and sold separately than when left intact in the gas stream.”  </w:t>
      </w:r>
      <w:r>
        <w:rPr>
          <w:i/>
        </w:rPr>
        <w:t>Pacific Offshore Pipeline Co. and Exxon Corp.</w:t>
      </w:r>
      <w:r>
        <w:rPr/>
        <w:t>, 15 FERC ¶ 61,235 at 61,532 (1981) (“</w:t>
      </w:r>
      <w:r>
        <w:rPr>
          <w:i/>
        </w:rPr>
        <w:t>POPCO I</w:t>
      </w:r>
      <w:r>
        <w:rPr/>
        <w:t xml:space="preserve">”).  Gas processing is thus normally performed for economic reasons.  </w:t>
      </w:r>
      <w:r>
        <w:rPr>
          <w:i/>
        </w:rPr>
        <w:t>See id.</w:t>
      </w:r>
    </w:p>
    <w:p>
      <w:pPr>
        <w:pStyle w:val="Normal"/>
        <w:jc w:val="both"/>
        <w:rPr>
          <w:i/>
          <w:i/>
        </w:rPr>
      </w:pPr>
      <w:r>
        <w:rPr>
          <w:i/>
        </w:rPr>
      </w:r>
    </w:p>
    <w:p>
      <w:pPr>
        <w:pStyle w:val="Normal"/>
        <w:jc w:val="both"/>
        <w:rPr/>
      </w:pPr>
      <w:r>
        <w:rPr/>
        <w:tab/>
        <w:t xml:space="preserve">The FERC has historically found that its NGA jurisdiction “does not extend to [gas] processing plants that are not essential to make the gas fit for pipeline transportation.”  </w:t>
      </w:r>
      <w:r>
        <w:rPr>
          <w:i/>
        </w:rPr>
        <w:t>Columbia Gas Transmission Corp. and MarkWest Hydrocarbon Partners, Ltd.</w:t>
      </w:r>
      <w:r>
        <w:rPr/>
        <w:t>, 79 FERC ¶ 61,040 at 61,181 (1997) (“</w:t>
      </w:r>
      <w:r>
        <w:rPr>
          <w:i/>
        </w:rPr>
        <w:t>Columbia</w:t>
      </w:r>
      <w:r>
        <w:rPr/>
        <w:t xml:space="preserve">”) (citation omitted); </w:t>
      </w:r>
      <w:r>
        <w:rPr>
          <w:i/>
        </w:rPr>
        <w:t>see also GPM Gas Corp. v. Continental Natural Gas, Inc.</w:t>
      </w:r>
      <w:r>
        <w:rPr/>
        <w:t>, 80 FERC ¶ 61,286 at 62,019 (1997) (“</w:t>
      </w:r>
      <w:r>
        <w:rPr>
          <w:i/>
        </w:rPr>
        <w:t>GPM Gas Corp.</w:t>
      </w:r>
      <w:r>
        <w:rPr/>
        <w:t xml:space="preserve">”) (“The Commission has long held that gas processing plants . . . are not jurisdictional under the Natural Gas Act where the plant’s function is the removal of liquids from the raw gas stream for their economic value”).  The FERC has found “that the extraction of liquid hydrocarbons is not generally necessary for the safe and efficient transportation of gas.”  </w:t>
      </w:r>
      <w:r>
        <w:rPr>
          <w:i/>
        </w:rPr>
        <w:t>Id.</w:t>
      </w:r>
      <w:r>
        <w:rPr/>
        <w:t xml:space="preserve"> (citation omitted).  Thus, “although the extraction of liquid and liquefiable hydrocarbons (i.e., gas processing) is incidental to transportation and may either enhance or detract from the marketability of gas”, the FERC does not require NGA certificate authority for such activity.  </w:t>
      </w:r>
      <w:r>
        <w:rPr>
          <w:i/>
        </w:rPr>
        <w:t>Id.</w:t>
      </w:r>
      <w:r>
        <w:rPr/>
        <w:t xml:space="preserve"> (citation omitted).  The FERC has determined, however, “that its NGA jurisdiction does apply to plants that perform processing necessary for the safe and efficient transportation of natural gas.”  </w:t>
      </w:r>
      <w:r>
        <w:rPr>
          <w:i/>
        </w:rPr>
        <w:t>Id.</w:t>
      </w:r>
      <w:r>
        <w:rPr/>
        <w:t xml:space="preserve"> (citation omitted).</w:t>
      </w:r>
    </w:p>
    <w:p>
      <w:pPr>
        <w:pStyle w:val="Normal"/>
        <w:jc w:val="both"/>
        <w:rPr/>
      </w:pPr>
      <w:r>
        <w:rPr/>
      </w:r>
    </w:p>
    <w:p>
      <w:pPr>
        <w:pStyle w:val="Normal"/>
        <w:jc w:val="both"/>
        <w:rPr/>
      </w:pPr>
      <w:r>
        <w:rPr/>
        <w:tab/>
        <w:t xml:space="preserve">In </w:t>
      </w:r>
      <w:r>
        <w:rPr>
          <w:i/>
        </w:rPr>
        <w:t>Columbia</w:t>
      </w:r>
      <w:r>
        <w:rPr/>
        <w:t xml:space="preserve">, the FERC found, “While MarkWest’s [proposed] New Kenova [Gas Processing] Plant will enhance the quality of gas entering Columbia [Gas Transmission Corporation’s] interstate transmission system, this result is incidental to the primary function of the plant to remove liquid and liquefiable hydrocarbons so that they can be sold by MarkWest for its economic benefit.”  </w:t>
      </w:r>
      <w:r>
        <w:rPr>
          <w:i/>
        </w:rPr>
        <w:t xml:space="preserve">Id. </w:t>
      </w:r>
      <w:r>
        <w:rPr/>
        <w:t xml:space="preserve">at 61,181-82.  The FERC declared that, accordingly, “the construction and operation of the New Kenova Plant is exempt from the Commission’s certificate jurisdiction under section 7 of the NGA.”  </w:t>
      </w:r>
      <w:r>
        <w:rPr>
          <w:i/>
        </w:rPr>
        <w:t>Id.</w:t>
      </w:r>
      <w:r>
        <w:rPr/>
        <w:t xml:space="preserve"> at 61,182.</w:t>
      </w:r>
    </w:p>
    <w:p>
      <w:pPr>
        <w:pStyle w:val="Normal"/>
        <w:jc w:val="both"/>
        <w:rPr/>
      </w:pPr>
      <w:r>
        <w:rPr/>
      </w:r>
    </w:p>
    <w:p>
      <w:pPr>
        <w:pStyle w:val="Normal"/>
        <w:jc w:val="both"/>
        <w:rPr/>
      </w:pPr>
      <w:r>
        <w:rPr/>
        <w:tab/>
        <w:t xml:space="preserve">The FERC reached a similar result in </w:t>
      </w:r>
      <w:r>
        <w:rPr>
          <w:i/>
        </w:rPr>
        <w:t>Questar Pipeline Co.</w:t>
      </w:r>
      <w:r>
        <w:rPr/>
        <w:t>, 67 FERC ¶ 61,197 (1994) (“</w:t>
      </w:r>
      <w:r>
        <w:rPr>
          <w:i/>
        </w:rPr>
        <w:t>Questar</w:t>
      </w:r>
      <w:r>
        <w:rPr/>
        <w:t xml:space="preserve">”).  In that proceeding, Questar Pipeline Company (“Questar”) and ANR Production Company proposed to construct and operate the Blacks Fork processing plant to “remove liquid and liquefiable hydrocarbons such as ethane, propane, butane, and natural gasoline from the gas stream primarily for sale, but also to improve the characteristics of the gas subsequently transported by pipeline transmission systems.”  </w:t>
      </w:r>
      <w:r>
        <w:rPr>
          <w:i/>
        </w:rPr>
        <w:t>Id.</w:t>
      </w:r>
      <w:r>
        <w:rPr/>
        <w:t xml:space="preserve"> at 61,619-20.  Responding to a request by Questar that it declare the Blacks Fork plant non-jurisdictional, the FERC stated that “while the Blacks Fork Processing Plant will enhance the quality of the gas entering interstate transmission systems, the primary function of the plant will be to remove liquid and liquefiable hydrocarbons so that they can be sold, not to ‘treat’ or ‘condition’ the gas so that it can be transported safely and efficiently.”  This being the case, the FERC concluded that “the construction and operation of the Blacks Fork plant is exempt from the Commission’s certificate jurisdiction under section 7 of the NGA.”  </w:t>
      </w:r>
      <w:r>
        <w:rPr>
          <w:i/>
        </w:rPr>
        <w:t>Id.</w:t>
      </w:r>
      <w:r>
        <w:rPr/>
        <w:t xml:space="preserve"> at 61,621-22.</w:t>
      </w:r>
    </w:p>
    <w:p>
      <w:pPr>
        <w:pStyle w:val="Normal"/>
        <w:jc w:val="both"/>
        <w:rPr/>
      </w:pPr>
      <w:r>
        <w:rPr/>
      </w:r>
    </w:p>
    <w:p>
      <w:pPr>
        <w:pStyle w:val="Normal"/>
        <w:jc w:val="both"/>
        <w:rPr/>
      </w:pPr>
      <w:r>
        <w:rPr/>
        <w:tab/>
        <w:t xml:space="preserve">A processing plant typically compensates the party delivering gas to that plant for the reduced heating value resulting from processing.  Compensation generally occurs by monetary payment from the plant owner to the gas supplier or by the plant owner providing to the gas supplier additional volumes of gas to allow the supplier a total volume of gas equal in heat content to that volume of gas originally supplied to the plant (i.e., “thermally-equivalent volumes” of gas).  </w:t>
      </w:r>
      <w:r>
        <w:rPr>
          <w:i/>
        </w:rPr>
        <w:t>See, e.g., Enron Natural Gas Liquids Corp. and Tennessee Gas Pipeline Co.</w:t>
      </w:r>
      <w:r>
        <w:rPr/>
        <w:t>, 61 FERC ¶ 61,043 at 61,201 (1992) (“</w:t>
      </w:r>
      <w:r>
        <w:rPr>
          <w:i/>
        </w:rPr>
        <w:t>Enron NGL</w:t>
      </w:r>
      <w:r>
        <w:rPr/>
        <w:t xml:space="preserve">”).  The method of compensation chosen is essentially a contractual issue between the parties and the FERC does not appear to prefer one method over the other.  Importantly, the FERC has declined to assert jurisdiction over the provision of thermally-equivalent gas volumes by the owner of a processing plant as compensation to its gas supplier for the reduced heat content of the supplier’s processed gas, concluding that, through such an arrangement, the gas supplier does not gain additional gas in terms of heating value and, therefore, no jurisdictional sale of gas results.  </w:t>
      </w:r>
      <w:r>
        <w:rPr>
          <w:i/>
        </w:rPr>
        <w:t>See id.</w:t>
      </w:r>
      <w:r>
        <w:rPr/>
        <w:t xml:space="preserve">; </w:t>
      </w:r>
      <w:r>
        <w:rPr>
          <w:i/>
        </w:rPr>
        <w:t>Questar</w:t>
      </w:r>
      <w:r>
        <w:rPr/>
        <w:t xml:space="preserve">, 67 FERC at 61,622.  And because the processing plant does not move the gas delivered to it for purposes of compensating its gas supplier, no jurisdictional transportation is deemed to occur (i.e., it receives the gas at the plant inlet and delivers the gas to its supplier at the tailgate of the plant).  </w:t>
      </w:r>
      <w:r>
        <w:rPr>
          <w:i/>
        </w:rPr>
        <w:t>See Enron NGL</w:t>
      </w:r>
      <w:r>
        <w:rPr/>
        <w:t>, 61 FERC at 61,201.</w:t>
      </w:r>
    </w:p>
    <w:p>
      <w:pPr>
        <w:pStyle w:val="Normal"/>
        <w:jc w:val="both"/>
        <w:rPr/>
      </w:pPr>
      <w:r>
        <w:rPr/>
      </w:r>
    </w:p>
    <w:p>
      <w:pPr>
        <w:pStyle w:val="Normal"/>
        <w:jc w:val="both"/>
        <w:rPr/>
      </w:pPr>
      <w:r>
        <w:rPr/>
        <w:tab/>
        <w:t>B.</w:t>
        <w:tab/>
        <w:t>Gas Conditioning and Gas Treating</w:t>
      </w:r>
    </w:p>
    <w:p>
      <w:pPr>
        <w:pStyle w:val="Normal"/>
        <w:jc w:val="both"/>
        <w:rPr/>
      </w:pPr>
      <w:r>
        <w:rPr/>
      </w:r>
    </w:p>
    <w:p>
      <w:pPr>
        <w:pStyle w:val="Normal"/>
        <w:jc w:val="both"/>
        <w:rPr/>
      </w:pPr>
      <w:r>
        <w:rPr/>
        <w:tab/>
        <w:t xml:space="preserve">The FERC defines “gas treating” as “the removal of constituents (e.g., carbon dioxide, hydrogen sulfide, water, etc.) which interfere with safe and efficient handling and transportation of natural gas.”  </w:t>
      </w:r>
      <w:r>
        <w:rPr>
          <w:i/>
        </w:rPr>
        <w:t>POPCO I</w:t>
      </w:r>
      <w:r>
        <w:rPr/>
        <w:t xml:space="preserve">, 15 FERC at 61,532.  It defines “gas conditioning” as “those operations (e.g., hydrocarbon dew point control, water dew point control, temperature, etc.) dictated by the design specifications of a particular pipeline system.”  </w:t>
      </w:r>
      <w:r>
        <w:rPr>
          <w:i/>
        </w:rPr>
        <w:t xml:space="preserve">Id.  </w:t>
      </w:r>
      <w:r>
        <w:rPr/>
        <w:t xml:space="preserve">Whereas gas processing is normally conducted for economic reasons, gas conditioning and gas treating are normally performed for operating reasons.  </w:t>
      </w:r>
      <w:r>
        <w:rPr>
          <w:i/>
        </w:rPr>
        <w:t>Id.</w:t>
      </w:r>
      <w:r>
        <w:rPr/>
        <w:t xml:space="preserve">  The FERC has recognized that the terms “gas conditioning” and “gas treating” are often used interchangeably.  </w:t>
      </w:r>
      <w:r>
        <w:rPr>
          <w:i/>
        </w:rPr>
        <w:t>See id.</w:t>
      </w:r>
    </w:p>
    <w:p>
      <w:pPr>
        <w:pStyle w:val="Normal"/>
        <w:jc w:val="both"/>
        <w:rPr>
          <w:i/>
          <w:i/>
        </w:rPr>
      </w:pPr>
      <w:r>
        <w:rPr>
          <w:i/>
        </w:rPr>
      </w:r>
    </w:p>
    <w:p>
      <w:pPr>
        <w:pStyle w:val="Normal"/>
        <w:jc w:val="both"/>
        <w:rPr/>
      </w:pPr>
      <w:r>
        <w:rPr/>
        <w:tab/>
        <w:t xml:space="preserve">Where the primary function of a gas plant is to treat or condition gas to enable its safe and efficient transportation, the FERC will exercise its certificate authority under Section 7 of the NGA with respect to that facility.  </w:t>
      </w:r>
      <w:r>
        <w:rPr>
          <w:i/>
        </w:rPr>
        <w:t>See Columbia</w:t>
      </w:r>
      <w:r>
        <w:rPr/>
        <w:t xml:space="preserve">, 79 FERC at 61,182; </w:t>
      </w:r>
      <w:r>
        <w:rPr>
          <w:i/>
        </w:rPr>
        <w:t>Enron Natural Gas Liquids Corp. and Tennessee Gas Pipeline Co.</w:t>
      </w:r>
      <w:r>
        <w:rPr/>
        <w:t xml:space="preserve">, 61 FERC ¶ 61,043 at 61,200 n.4 (1992) (“The Commission has asserted jurisdiction over gas plants which treat or condition gas in order to bring the gas up to pipeline quality.”).  For example, in </w:t>
      </w:r>
      <w:r>
        <w:rPr>
          <w:i/>
        </w:rPr>
        <w:t>El Paso Natural Gas Co.</w:t>
      </w:r>
      <w:r>
        <w:rPr/>
        <w:t xml:space="preserve">, 34 FERC ¶ 61,027 (1986), the FERC refused to declare non-jurisdictional “gas processing facilities” (consisting of gasoline, purification and dehydration facilities) of El Paso Natural Gas Company (“El Paso”) which were previously certificated by the Federal Power Commission as being “required for the safe and efficient transportation of natural gas.”  </w:t>
      </w:r>
      <w:r>
        <w:rPr>
          <w:i/>
        </w:rPr>
        <w:t>Id.</w:t>
      </w:r>
      <w:r>
        <w:rPr/>
        <w:t xml:space="preserve"> at 61,042.  Similarly, in </w:t>
      </w:r>
      <w:r>
        <w:rPr>
          <w:i/>
        </w:rPr>
        <w:t>Natural Gas Pipeline Co. of America</w:t>
      </w:r>
      <w:r>
        <w:rPr/>
        <w:t xml:space="preserve">, 26 FERC ¶ 61,282 (1984), the FERC stated, “Where the Commission traditionally has asserted its certificate jurisdiction over extraction plants, it has been because the plant at issue was needed for the safe and efficient transportation of natural gas.”  </w:t>
      </w:r>
      <w:r>
        <w:rPr>
          <w:i/>
        </w:rPr>
        <w:t>Id.</w:t>
      </w:r>
      <w:r>
        <w:rPr/>
        <w:t xml:space="preserve"> at 61,641.</w:t>
      </w:r>
      <w:r>
        <w:rPr>
          <w:rStyle w:val="FootnoteCharacters"/>
          <w:rStyle w:val="FootnoteReference"/>
        </w:rPr>
        <w:footnoteReference w:id="2"/>
      </w:r>
    </w:p>
    <w:p>
      <w:pPr>
        <w:pStyle w:val="Normal"/>
        <w:jc w:val="both"/>
        <w:rPr/>
      </w:pPr>
      <w:r>
        <w:rPr/>
        <w:tab/>
        <w:t>C.</w:t>
        <w:tab/>
        <w:t>The Jurisdictional Status of Proposed Facilities Located at Elba Island</w:t>
      </w:r>
    </w:p>
    <w:p>
      <w:pPr>
        <w:pStyle w:val="Normal"/>
        <w:jc w:val="both"/>
        <w:rPr/>
      </w:pPr>
      <w:r>
        <w:rPr/>
      </w:r>
    </w:p>
    <w:p>
      <w:pPr>
        <w:pStyle w:val="Normal"/>
        <w:jc w:val="both"/>
        <w:rPr/>
      </w:pPr>
      <w:r>
        <w:rPr/>
        <w:tab/>
        <w:t xml:space="preserve">While the Commission, as discussed above, distinguishes between gas processing and gas conditioning, determining which activity is occurring at a particular plant is sometimes more difficult.  Thus, in </w:t>
      </w:r>
      <w:r>
        <w:rPr>
          <w:i/>
        </w:rPr>
        <w:t xml:space="preserve">POPCO I, supra, </w:t>
      </w:r>
      <w:r>
        <w:rPr/>
        <w:t>the Commission stated:</w:t>
      </w:r>
    </w:p>
    <w:p>
      <w:pPr>
        <w:pStyle w:val="Normal"/>
        <w:jc w:val="both"/>
        <w:rPr/>
      </w:pPr>
      <w:r>
        <w:rPr/>
      </w:r>
    </w:p>
    <w:p>
      <w:pPr>
        <w:pStyle w:val="Normal"/>
        <w:ind w:start="1440" w:end="1440"/>
        <w:jc w:val="both"/>
        <w:rPr>
          <w:sz w:val="20"/>
        </w:rPr>
      </w:pPr>
      <w:r>
        <w:rPr/>
        <w:t>[G]as treating and gas conditioning are normally conducted for operating reasons; whereas, gas processing is normally conducted for economic reasons.  Sometimes more than one of these operations may occur within the same facilities complex and their distinction becomes less clear.  Also a particular operation may produce several benefits.  For example, gas treating and/or gas conditioning may be conducted to both make the gas ready for sale and to make it ready for processing.</w:t>
      </w:r>
    </w:p>
    <w:p>
      <w:pPr>
        <w:pStyle w:val="Normal"/>
        <w:jc w:val="both"/>
        <w:rPr>
          <w:sz w:val="20"/>
        </w:rPr>
      </w:pPr>
      <w:r>
        <w:rPr>
          <w:sz w:val="20"/>
        </w:rPr>
      </w:r>
    </w:p>
    <w:p>
      <w:pPr>
        <w:pStyle w:val="Normal"/>
        <w:jc w:val="both"/>
        <w:rPr/>
      </w:pPr>
      <w:r>
        <w:rPr>
          <w:i/>
        </w:rPr>
        <w:t xml:space="preserve">Id. </w:t>
      </w:r>
      <w:r>
        <w:rPr/>
        <w:t>15 FERC at</w:t>
      </w:r>
      <w:r>
        <w:rPr>
          <w:i/>
        </w:rPr>
        <w:t xml:space="preserve"> </w:t>
      </w:r>
      <w:r>
        <w:rPr/>
        <w:t xml:space="preserve">61,532.  Further, in </w:t>
      </w:r>
      <w:r>
        <w:rPr>
          <w:i/>
        </w:rPr>
        <w:t xml:space="preserve">Texas Eastern Transmission Corporation, </w:t>
      </w:r>
      <w:r>
        <w:rPr/>
        <w:t xml:space="preserve">43 FERC ¶ 61,044 (1988), the Commission stated that while gas processing is “generally not necessary for the safe and efficient transportation of natural gas, gas processing is incident to such transportation and may either enhance or detract from the marketability or value of the gas being transported and increase the efficacy of that transportation.”  </w:t>
      </w:r>
      <w:r>
        <w:rPr>
          <w:i/>
        </w:rPr>
        <w:t xml:space="preserve">Id. </w:t>
      </w:r>
      <w:r>
        <w:rPr/>
        <w:t>at 61,129.</w:t>
      </w:r>
    </w:p>
    <w:p>
      <w:pPr>
        <w:pStyle w:val="Normal"/>
        <w:jc w:val="both"/>
        <w:rPr/>
      </w:pPr>
      <w:r>
        <w:rPr/>
      </w:r>
    </w:p>
    <w:p>
      <w:pPr>
        <w:pStyle w:val="Normal"/>
        <w:jc w:val="both"/>
        <w:rPr/>
      </w:pPr>
      <w:r>
        <w:rPr/>
        <w:tab/>
        <w:t xml:space="preserve">Where the Commission has determined that a particular plant is providing mixed uses, it determines the jurisdictional status of that plant based on a review of the primary and incidental purposes of the plant.  For example, in </w:t>
      </w:r>
      <w:r>
        <w:rPr>
          <w:i/>
        </w:rPr>
        <w:t xml:space="preserve">Questar, supra, </w:t>
      </w:r>
      <w:r>
        <w:rPr/>
        <w:t>the Commission stated with respect to the plant that was the subject of the Commission’s analysis:</w:t>
      </w:r>
    </w:p>
    <w:p>
      <w:pPr>
        <w:pStyle w:val="Normal"/>
        <w:jc w:val="both"/>
        <w:rPr/>
      </w:pPr>
      <w:r>
        <w:rPr/>
      </w:r>
    </w:p>
    <w:p>
      <w:pPr>
        <w:pStyle w:val="Normal"/>
        <w:ind w:start="1440" w:end="1440"/>
        <w:jc w:val="both"/>
        <w:rPr/>
      </w:pPr>
      <w:r>
        <w:rPr/>
        <w:t>While the … plant will enhance the quality of the gas flowing into interstate transmission systems, such enhancement is incidental to the primary purpose of removing liquid and liquefiable hydrocarbons so that they can be sold separately.  Removal of these liquids is not based on consideration relating to transmission safety or operational efficiency.</w:t>
      </w:r>
    </w:p>
    <w:p>
      <w:pPr>
        <w:pStyle w:val="Normal"/>
        <w:ind w:start="1440" w:end="1440"/>
        <w:jc w:val="both"/>
        <w:rPr/>
      </w:pPr>
      <w:r>
        <w:rPr/>
      </w:r>
    </w:p>
    <w:p>
      <w:pPr>
        <w:pStyle w:val="Normal"/>
        <w:jc w:val="both"/>
        <w:rPr/>
      </w:pPr>
      <w:r>
        <w:rPr/>
        <w:t xml:space="preserve">67 FERC at 61,622.  </w:t>
      </w:r>
      <w:r>
        <w:rPr>
          <w:i/>
        </w:rPr>
        <w:t xml:space="preserve">Accord, Columbia, </w:t>
      </w:r>
      <w:r>
        <w:rPr/>
        <w:t xml:space="preserve">79 FERC at 61,181-182 (while the plant enhances the quality of gas entering the interstate pipeline, that result is incidental to the primary function of the plant to remove liquids and liquefiables so that they can be sold for economic benefit).  </w:t>
      </w:r>
    </w:p>
    <w:p>
      <w:pPr>
        <w:pStyle w:val="Normal"/>
        <w:jc w:val="both"/>
        <w:rPr/>
      </w:pPr>
      <w:r>
        <w:rPr/>
      </w:r>
    </w:p>
    <w:p>
      <w:pPr>
        <w:pStyle w:val="Normal"/>
        <w:jc w:val="both"/>
        <w:rPr/>
      </w:pPr>
      <w:r>
        <w:rPr/>
        <w:tab/>
        <w:t>Whether Enron would be able to construct and operate a non-jurisdictional plant at the Elba Island Terminal will thus depend on the primary function of the plant.  That is a fact-specific analysis, with the final determination of the jurisdictional status of the plant being made by the Commission.  While there are a number of factors that likely would be considered by the Commission in deciding the primary purpose of a plant at Elba Island, it is likely that the greatest focus would be on the question of whether the reduction in the Btu content of the vaporized LNG is primarily necessary for the safe and efficient operation of the SLNG system or, alternatively, is for economic benefit.  For purposes of deciding that question, a number of facts could be reviewed by the Commission, including, (1) whether LNG delivered to the terminal meets the quality specifications set forth in the tariff; (2) whether the complaints filed by downstream customers regarding the alleged adverse impacts of high Btu gas present a safety or efficiency concern, and (3) whether the removal of Btus will in fact provide an economic benefit to the plant operator.</w:t>
      </w:r>
    </w:p>
    <w:p>
      <w:pPr>
        <w:pStyle w:val="Normal"/>
        <w:jc w:val="both"/>
        <w:rPr/>
      </w:pPr>
      <w:r>
        <w:rPr/>
      </w:r>
    </w:p>
    <w:p>
      <w:pPr>
        <w:pStyle w:val="Normal"/>
        <w:jc w:val="both"/>
        <w:rPr/>
      </w:pPr>
      <w:r>
        <w:rPr/>
        <w:tab/>
        <w:t xml:space="preserve">To date, the arguments of SLNG and downstream customers have focused on the alleged need to reduce the Btu content of the LNG so that it does not have adverse downstream effects.  Enron, however, has contested those alleged adverse impacts.  Thus, before the Commission could determine that a stripping plant is jurisdictional, it would, in our view, be required to first resolve this dispute.  For that purpose, Enron already has a “seat at the table” since it is the party that has contested the claims of SLNG and the downstream customers. </w:t>
      </w:r>
    </w:p>
    <w:p>
      <w:pPr>
        <w:pStyle w:val="Normal"/>
        <w:jc w:val="both"/>
        <w:rPr/>
      </w:pPr>
      <w:r>
        <w:rPr/>
      </w:r>
    </w:p>
    <w:p>
      <w:pPr>
        <w:pStyle w:val="Normal"/>
        <w:jc w:val="both"/>
        <w:rPr/>
      </w:pPr>
      <w:r>
        <w:rPr/>
        <w:tab/>
        <w:t>Assuming that Enron, or an affiliate, is considering the construction and operation of a stripping facility at the Elba Island Terminal and, also, that Enron and SLNG can contractually agree to interconnecting such a facility to the terminal,</w:t>
      </w:r>
      <w:r>
        <w:rPr>
          <w:rStyle w:val="FootnoteCharacters"/>
          <w:rStyle w:val="FootnoteReference"/>
        </w:rPr>
        <w:footnoteReference w:id="3"/>
      </w:r>
      <w:r>
        <w:rPr/>
        <w:t xml:space="preserve"> Enron would also be a party before the FERC regarding such a proposal.  Specifically, Enron, or its affiliate, would be the party that would file a petition with the FERC for declaratory order that disclaims jurisdiction over the facility.</w:t>
      </w:r>
      <w:r>
        <w:rPr>
          <w:rStyle w:val="FootnoteCharacters"/>
          <w:rStyle w:val="FootnoteReference"/>
        </w:rPr>
        <w:footnoteReference w:id="4"/>
      </w:r>
      <w:r>
        <w:rPr/>
        <w:t xml:space="preserve">  Moreover, even if Enron is not the entity that proposes to construct and operate the stripping facility, a third party seeking to operate it as a non-jurisdictional facility would have to seek a determination from the FERC regarding the jurisdictional status of the facility.  In that event, Enron could intervene and participate in the proceeding since it would have an interest in how the stripped-out Btus will be treated by the Commission.  It would also have an interest since the jurisdictional status of the facility could affect the rates charged by the plant owner.</w:t>
      </w:r>
    </w:p>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EngraversGothic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rPr>
        <w:t xml:space="preserve">In at least one instance, the FERC has found a gas treatment plant to be exempt from its NGA jurisdiction pursuant to NGA Section 1(b).  Specifically, in </w:t>
      </w:r>
      <w:r>
        <w:rPr>
          <w:i/>
          <w:sz w:val="20"/>
        </w:rPr>
        <w:t>Pacific Offshore Pipeline Company</w:t>
      </w:r>
      <w:r>
        <w:rPr>
          <w:sz w:val="20"/>
        </w:rPr>
        <w:t>, 64 FERC ¶ 61,167 (1993) (“</w:t>
      </w:r>
      <w:r>
        <w:rPr>
          <w:i/>
          <w:sz w:val="20"/>
        </w:rPr>
        <w:t>POPCO II</w:t>
      </w:r>
      <w:r>
        <w:rPr>
          <w:sz w:val="20"/>
        </w:rPr>
        <w:t xml:space="preserve">”), the California Public Utilities Commission requested that the FERC declare non-jurisdictional an offshore pipeline and gas treatment and processing plant owned and operated by Pacific Offshore Pipeline Company (“POPCO”) and certificated in an earlier FERC proceeding.  The treatment function performed by the plant involved the “remov[al of] hydrogen sulfide and other impurities from the sour gas” transported ashore by POPCO’s pipeline; the plant’s processing function entailed the “extracti[on of] heavy hydrocarbons for separate sale as liquids.”  </w:t>
      </w:r>
      <w:r>
        <w:rPr>
          <w:i/>
          <w:sz w:val="20"/>
        </w:rPr>
        <w:t>Id.</w:t>
      </w:r>
      <w:r>
        <w:rPr>
          <w:sz w:val="20"/>
        </w:rPr>
        <w:t xml:space="preserve"> at 62,507 n.14-15.  Applying the “primary function test” articulated in </w:t>
      </w:r>
      <w:r>
        <w:rPr>
          <w:i/>
          <w:sz w:val="20"/>
        </w:rPr>
        <w:t>Farmland Industries, Inc.</w:t>
      </w:r>
      <w:r>
        <w:rPr>
          <w:sz w:val="20"/>
        </w:rPr>
        <w:t xml:space="preserve">, 23 FERC ¶ 61,063 (1983), the FERC concluded “[t]he primary function of POPCO’s facilities [to be the] collect[ion of] gas after production, and prepar[ation of] it for the first stages of distribution.”  </w:t>
      </w:r>
      <w:r>
        <w:rPr>
          <w:i/>
          <w:sz w:val="20"/>
        </w:rPr>
        <w:t>Id.</w:t>
      </w:r>
      <w:r>
        <w:rPr>
          <w:sz w:val="20"/>
        </w:rPr>
        <w:t xml:space="preserve"> at 62,509 (citation omitted).  Accordingly, the FERC declared, “[W]e find that the primary function of POPCO’s facilities, including its pipeline and processing plant, is gathering, and that these gathering facilities are exempt from our NGA jurisdiction under the ‘production and gathering’ exemption contained in section 1(b) of the NGA.”  </w:t>
      </w:r>
      <w:r>
        <w:rPr>
          <w:i/>
          <w:sz w:val="20"/>
        </w:rPr>
        <w:t>Id.</w:t>
      </w:r>
      <w:r>
        <w:rPr>
          <w:sz w:val="20"/>
        </w:rPr>
        <w:t xml:space="preserve"> at 62,510.</w:t>
      </w:r>
    </w:p>
    <w:p>
      <w:pPr>
        <w:pStyle w:val="Normal"/>
        <w:rPr/>
      </w:pPr>
      <w:r>
        <w:rPr/>
        <w:tab/>
      </w:r>
      <w:r>
        <w:rPr>
          <w:sz w:val="20"/>
        </w:rPr>
        <w:t xml:space="preserve">While POPCO’s entire system (i.e., pipeline and processing plant) was determined by the FERC to be gathering facilities exempt from FERC jurisdiction under NGA Section 1(b), the Elba Island Terminal and the downstream facilities of Southern Natural will consist of NGA-jurisdictional facilities.  As such, the usefulness of </w:t>
      </w:r>
      <w:r>
        <w:rPr>
          <w:i/>
          <w:sz w:val="20"/>
        </w:rPr>
        <w:t>POPCO II</w:t>
      </w:r>
      <w:r>
        <w:rPr>
          <w:sz w:val="20"/>
        </w:rPr>
        <w:t xml:space="preserve"> as an indicator of whether a plant would qualify as exempt from FERC jurisdiction is unclear.  Nevertheless, the ruling does demonstrate that it is possible to have a gas treatment plant (normally a jurisdictional facility) declared non-jurisdictional.</w:t>
      </w:r>
      <w:r>
        <w:rPr/>
        <w:t xml:space="preserve">  </w:t>
      </w:r>
    </w:p>
  </w:footnote>
  <w:footnote w:id="3">
    <w:p>
      <w:pPr>
        <w:pStyle w:val="FootnoteText"/>
        <w:spacing w:before="0" w:after="120"/>
        <w:rPr/>
      </w:pPr>
      <w:r>
        <w:rPr>
          <w:rStyle w:val="FootnoteCharacters"/>
        </w:rPr>
        <w:footnoteRef/>
      </w:r>
      <w:r>
        <w:rPr/>
        <w:t xml:space="preserve"> </w:t>
      </w:r>
      <w:r>
        <w:rPr>
          <w:sz w:val="20"/>
        </w:rPr>
        <w:t>SLNG is not required by the FERC’s regulations to interconnect with a processing plant.  That is a matter of private contract.  Further, since the intent of Enron would be to keep the plant non-jurisdictional, Enron would have no eminent domain authority to acquire a site for the plant.</w:t>
      </w:r>
    </w:p>
  </w:footnote>
  <w:footnote w:id="4">
    <w:p>
      <w:pPr>
        <w:pStyle w:val="FootnoteText"/>
        <w:spacing w:before="0" w:after="120"/>
        <w:rPr/>
      </w:pPr>
      <w:r>
        <w:rPr>
          <w:rStyle w:val="FootnoteCharacters"/>
        </w:rPr>
        <w:footnoteRef/>
      </w:r>
      <w:r>
        <w:rPr/>
        <w:t xml:space="preserve"> </w:t>
      </w:r>
      <w:r>
        <w:rPr>
          <w:sz w:val="20"/>
        </w:rPr>
        <w:t>In such a petition, Enron likely would want to address the past claims of downstream customers who have alleged various adverse effects if high Btu gas is received by them.  In this regard, one approach would be to emphasize that as a result of their allegations, a business opportunity was identified wherein the value of the liquids</w:t>
      </w:r>
      <w:r>
        <w:rPr/>
        <w:t xml:space="preserve"> </w:t>
      </w:r>
      <w:r>
        <w:rPr>
          <w:sz w:val="20"/>
        </w:rPr>
        <w:t>is now being pursued, with the incidental consequence that the concerns of downstream customers will simultaneously be addressed.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480"/>
      <w:rPr>
        <w:rFonts w:ascii="EngraversGothic BT" w:hAnsi="EngraversGothic BT" w:cs="EngraversGothic BT"/>
        <w:smallCaps/>
        <w:spacing w:val="2"/>
        <w:kern w:val="2"/>
        <w:sz w:val="28"/>
      </w:rPr>
    </w:pPr>
    <w:r>
      <w:rPr>
        <w:rFonts w:cs="EngraversGothic BT" w:ascii="EngraversGothic BT" w:hAnsi="EngraversGothic BT"/>
        <w:smallCaps/>
        <w:spacing w:val="2"/>
        <w:kern w:val="2"/>
        <w:sz w:val="28"/>
      </w:rPr>
      <w:t>Akin, Gump, Strauss, Hauer &amp; Feld, l.l.p.</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06" w:type="dxa"/>
      <w:jc w:val="start"/>
      <w:tblInd w:w="-873" w:type="dxa"/>
      <w:tblLayout w:type="fixed"/>
      <w:tblCellMar>
        <w:top w:w="0" w:type="dxa"/>
        <w:start w:w="0" w:type="dxa"/>
        <w:bottom w:w="0" w:type="dxa"/>
        <w:end w:w="0" w:type="dxa"/>
      </w:tblCellMar>
    </w:tblPr>
    <w:tblGrid>
      <w:gridCol w:w="2637"/>
      <w:gridCol w:w="5832"/>
      <w:gridCol w:w="2637"/>
    </w:tblGrid>
    <w:tr>
      <w:trPr/>
      <w:tc>
        <w:tcPr>
          <w:tcW w:w="2637" w:type="dxa"/>
          <w:tcBorders/>
        </w:tcPr>
        <w:p>
          <w:pPr>
            <w:pStyle w:val="Normal"/>
            <w:spacing w:lineRule="exact" w:line="120" w:before="1080" w:after="60"/>
            <w:rPr>
              <w:rFonts w:ascii="EngraversGothic BT" w:hAnsi="EngraversGothic BT" w:cs="EngraversGothic BT"/>
              <w:spacing w:val="10"/>
              <w:sz w:val="14"/>
            </w:rPr>
          </w:pPr>
          <w:r>
            <w:rPr>
              <w:rFonts w:cs="EngraversGothic BT" w:ascii="EngraversGothic BT" w:hAnsi="EngraversGothic BT"/>
              <w:spacing w:val="10"/>
              <w:sz w:val="14"/>
            </w:rPr>
            <w:t>AUSTIN</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BRUSSELS</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DALLAS</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HOUSTON</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LONDON</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LOS ANGELES</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MOSCOW</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NEW YORK</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PHILADELPHIA</w:t>
          </w:r>
        </w:p>
        <w:p>
          <w:pPr>
            <w:pStyle w:val="Normal"/>
            <w:spacing w:lineRule="exact" w:line="120" w:before="0" w:after="60"/>
            <w:rPr>
              <w:rFonts w:ascii="EngraversGothic BT" w:hAnsi="EngraversGothic BT" w:cs="EngraversGothic BT"/>
              <w:spacing w:val="10"/>
              <w:sz w:val="14"/>
            </w:rPr>
          </w:pPr>
          <w:r>
            <w:rPr>
              <w:rFonts w:cs="EngraversGothic BT" w:ascii="EngraversGothic BT" w:hAnsi="EngraversGothic BT"/>
              <w:spacing w:val="10"/>
              <w:sz w:val="14"/>
            </w:rPr>
            <w:t>SAN ANTONIO</w:t>
          </w:r>
        </w:p>
        <w:p>
          <w:pPr>
            <w:pStyle w:val="Header"/>
            <w:tabs>
              <w:tab w:val="clear" w:pos="4680"/>
              <w:tab w:val="clear" w:pos="9360"/>
            </w:tabs>
            <w:spacing w:lineRule="exact" w:line="120" w:before="0" w:after="60"/>
            <w:rPr>
              <w:rFonts w:ascii="EngraversGothic BT" w:hAnsi="EngraversGothic BT" w:cs="EngraversGothic BT"/>
              <w:sz w:val="14"/>
            </w:rPr>
          </w:pPr>
          <w:r>
            <w:rPr>
              <w:rFonts w:cs="EngraversGothic BT" w:ascii="EngraversGothic BT" w:hAnsi="EngraversGothic BT"/>
              <w:spacing w:val="10"/>
              <w:sz w:val="14"/>
            </w:rPr>
            <w:t>WASHINGTON, D.C.</w:t>
          </w:r>
        </w:p>
        <w:p>
          <w:pPr>
            <w:pStyle w:val="Header"/>
            <w:pBdr>
              <w:bottom w:val="single" w:sz="4" w:space="1" w:color="000000"/>
            </w:pBdr>
            <w:tabs>
              <w:tab w:val="clear" w:pos="4680"/>
              <w:tab w:val="clear" w:pos="9360"/>
            </w:tabs>
            <w:ind w:end="1048"/>
            <w:rPr>
              <w:rFonts w:ascii="EngraversGothic BT" w:hAnsi="EngraversGothic BT" w:cs="EngraversGothic BT"/>
              <w:sz w:val="14"/>
            </w:rPr>
          </w:pPr>
          <w:r>
            <w:rPr>
              <w:rFonts w:cs="EngraversGothic BT" w:ascii="EngraversGothic BT" w:hAnsi="EngraversGothic BT"/>
              <w:sz w:val="14"/>
            </w:rPr>
          </w:r>
        </w:p>
        <w:p>
          <w:pPr>
            <w:pStyle w:val="Header"/>
            <w:tabs>
              <w:tab w:val="clear" w:pos="4680"/>
              <w:tab w:val="clear" w:pos="9360"/>
            </w:tabs>
            <w:spacing w:before="60" w:after="0"/>
            <w:rPr>
              <w:rFonts w:ascii="EngraversGothic BT" w:hAnsi="EngraversGothic BT" w:cs="EngraversGothic BT"/>
              <w:sz w:val="14"/>
            </w:rPr>
          </w:pPr>
          <w:r>
            <w:rPr>
              <w:rFonts w:cs="EngraversGothic BT" w:ascii="EngraversGothic BT" w:hAnsi="EngraversGothic BT"/>
              <w:sz w:val="14"/>
            </w:rPr>
            <w:t>RIYADH – IN AFFILIATION WITH</w:t>
          </w:r>
        </w:p>
        <w:p>
          <w:pPr>
            <w:pStyle w:val="Header"/>
            <w:tabs>
              <w:tab w:val="clear" w:pos="4680"/>
              <w:tab w:val="clear" w:pos="9360"/>
            </w:tabs>
            <w:spacing w:before="0" w:after="240"/>
            <w:rPr>
              <w:rFonts w:ascii="EngraversGothic BT" w:hAnsi="EngraversGothic BT" w:cs="EngraversGothic BT"/>
              <w:sz w:val="14"/>
            </w:rPr>
          </w:pPr>
          <w:r>
            <w:rPr>
              <w:rFonts w:cs="EngraversGothic BT" w:ascii="EngraversGothic BT" w:hAnsi="EngraversGothic BT"/>
              <w:sz w:val="14"/>
            </w:rPr>
            <w:t>THE LAW OFFICE OF ABDULAZIZ H. FAHAD</w:t>
          </w:r>
        </w:p>
      </w:tc>
      <w:tc>
        <w:tcPr>
          <w:tcW w:w="5832" w:type="dxa"/>
          <w:tcBorders>
            <w:bottom w:val="single" w:sz="4" w:space="0" w:color="000000"/>
          </w:tcBorders>
        </w:tcPr>
        <w:p>
          <w:pPr>
            <w:pStyle w:val="Normal"/>
            <w:numPr>
              <w:ilvl w:val="0"/>
              <w:numId w:val="0"/>
            </w:numPr>
            <w:spacing w:before="240" w:after="50"/>
            <w:jc w:val="center"/>
            <w:outlineLvl w:val="0"/>
            <w:rPr>
              <w:rFonts w:ascii="EngraversGothic BT" w:hAnsi="EngraversGothic BT" w:cs="EngraversGothic BT"/>
              <w:smallCaps/>
              <w:spacing w:val="2"/>
              <w:kern w:val="2"/>
              <w:sz w:val="32"/>
            </w:rPr>
          </w:pPr>
          <w:r>
            <w:rPr>
              <w:rFonts w:cs="EngraversGothic BT" w:ascii="EngraversGothic BT" w:hAnsi="EngraversGothic BT"/>
              <w:smallCaps/>
              <w:spacing w:val="2"/>
              <w:kern w:val="2"/>
              <w:sz w:val="32"/>
            </w:rPr>
            <w:t>Akin, Gump, Strauss, Hauer &amp; Feld, l.l.</w:t>
          </w:r>
          <w:r>
            <w:rPr>
              <w:rFonts w:cs="EngraversGothic BT" w:ascii="EngraversGothic BT" w:hAnsi="EngraversGothic BT"/>
              <w:smallCaps/>
              <w:spacing w:val="-50"/>
              <w:kern w:val="2"/>
              <w:sz w:val="32"/>
            </w:rPr>
            <w:t>p.</w:t>
          </w:r>
        </w:p>
        <w:p>
          <w:pPr>
            <w:pStyle w:val="Normal"/>
            <w:spacing w:before="0" w:after="30"/>
            <w:jc w:val="center"/>
            <w:rPr>
              <w:rFonts w:ascii="EngraversGothic BT" w:hAnsi="EngraversGothic BT" w:cs="EngraversGothic BT"/>
              <w:smallCaps/>
              <w:spacing w:val="10"/>
              <w:sz w:val="18"/>
            </w:rPr>
          </w:pPr>
          <w:r>
            <w:rPr>
              <w:rFonts w:cs="EngraversGothic BT" w:ascii="EngraversGothic BT" w:hAnsi="EngraversGothic BT"/>
              <w:smallCaps/>
              <w:spacing w:val="10"/>
              <w:sz w:val="18"/>
            </w:rPr>
            <w:t>ATTORNEYS AT LAW</w:t>
          </w:r>
        </w:p>
        <w:p>
          <w:pPr>
            <w:pStyle w:val="Normal"/>
            <w:spacing w:lineRule="exact" w:line="160" w:before="0" w:after="20"/>
            <w:jc w:val="center"/>
            <w:rPr>
              <w:rFonts w:ascii="EngraversGothic BT" w:hAnsi="EngraversGothic BT" w:cs="EngraversGothic BT"/>
              <w:smallCaps/>
              <w:spacing w:val="4"/>
              <w:kern w:val="2"/>
              <w:sz w:val="16"/>
            </w:rPr>
          </w:pPr>
          <w:r>
            <w:fldChar w:fldCharType="begin"/>
          </w:r>
          <w:r>
            <w:rPr>
              <w:smallCaps/>
              <w:sz w:val="16"/>
              <w:spacing w:val="4"/>
              <w:rFonts w:cs="EngraversGothic BT" w:ascii="EngraversGothic BT" w:hAnsi="EngraversGothic BT"/>
            </w:rPr>
            <w:instrText xml:space="preserve">ADVANCE \D 3.60</w:instrText>
          </w:r>
          <w:r>
            <w:rPr>
              <w:rFonts w:cs="EngraversGothic BT" w:ascii="EngraversGothic BT" w:hAnsi="EngraversGothic BT"/>
              <w:smallCaps/>
              <w:spacing w:val="4"/>
              <w:sz w:val="16"/>
            </w:rPr>
          </w:r>
          <w:r>
            <w:rPr>
              <w:smallCaps/>
              <w:sz w:val="16"/>
              <w:spacing w:val="4"/>
              <w:rFonts w:cs="EngraversGothic BT" w:ascii="EngraversGothic BT" w:hAnsi="EngraversGothic BT"/>
            </w:rPr>
            <w:fldChar w:fldCharType="separate"/>
          </w:r>
          <w:r>
            <w:rPr>
              <w:rFonts w:cs="EngraversGothic BT" w:ascii="EngraversGothic BT" w:hAnsi="EngraversGothic BT"/>
              <w:smallCaps/>
              <w:spacing w:val="4"/>
              <w:sz w:val="16"/>
            </w:rPr>
          </w:r>
          <w:r>
            <w:rPr>
              <w:rFonts w:cs="EngraversGothic BT" w:ascii="EngraversGothic BT" w:hAnsi="EngraversGothic BT"/>
              <w:smallCaps/>
              <w:spacing w:val="4"/>
              <w:sz w:val="16"/>
            </w:rPr>
          </w:r>
          <w:r>
            <w:rPr>
              <w:smallCaps/>
              <w:sz w:val="16"/>
              <w:spacing w:val="4"/>
              <w:rFonts w:cs="EngraversGothic BT" w:ascii="EngraversGothic BT" w:hAnsi="EngraversGothic BT"/>
            </w:rPr>
            <w:fldChar w:fldCharType="end"/>
          </w:r>
          <w:r>
            <w:rPr>
              <w:rFonts w:cs="EngraversGothic BT" w:ascii="EngraversGothic BT" w:hAnsi="EngraversGothic BT"/>
              <w:smallCaps/>
              <w:spacing w:val="8"/>
              <w:kern w:val="2"/>
              <w:sz w:val="18"/>
            </w:rPr>
            <w:t>a registered limited liability partnership</w:t>
            <w:br/>
            <w:t>including professional corporations</w:t>
          </w:r>
        </w:p>
        <w:p>
          <w:pPr>
            <w:pStyle w:val="Letterhead"/>
            <w:spacing w:before="40" w:after="0"/>
            <w:rPr/>
          </w:pPr>
          <w:r>
            <w:rPr>
              <w:spacing w:val="-20"/>
              <w:kern w:val="0"/>
            </w:rPr>
            <w:t>1</w:t>
          </w:r>
          <w:r>
            <w:rPr>
              <w:spacing w:val="0"/>
              <w:kern w:val="0"/>
            </w:rPr>
            <w:t>900</w:t>
          </w:r>
          <w:r>
            <w:rPr>
              <w:spacing w:val="10"/>
              <w:kern w:val="0"/>
            </w:rPr>
            <w:t xml:space="preserve"> PENNZOIL PLACE-SOUTH TOWER</w:t>
          </w:r>
        </w:p>
        <w:p>
          <w:pPr>
            <w:pStyle w:val="Letterhead"/>
            <w:spacing w:before="40" w:after="0"/>
            <w:rPr>
              <w:kern w:val="0"/>
            </w:rPr>
          </w:pPr>
          <w:r>
            <w:rPr>
              <w:spacing w:val="-40"/>
              <w:kern w:val="0"/>
            </w:rPr>
            <w:t>71</w:t>
          </w:r>
          <w:r>
            <w:rPr>
              <w:spacing w:val="-30"/>
              <w:kern w:val="0"/>
            </w:rPr>
            <w:t>1</w:t>
          </w:r>
          <w:r>
            <w:rPr>
              <w:kern w:val="0"/>
            </w:rPr>
            <w:t xml:space="preserve"> </w:t>
          </w:r>
          <w:r>
            <w:rPr>
              <w:spacing w:val="10"/>
              <w:kern w:val="0"/>
            </w:rPr>
            <w:t>LOUISIANA STREET</w:t>
          </w:r>
        </w:p>
        <w:p>
          <w:pPr>
            <w:pStyle w:val="Letterhead"/>
            <w:rPr>
              <w:kern w:val="0"/>
            </w:rPr>
          </w:pPr>
          <w:r>
            <w:rPr>
              <w:spacing w:val="10"/>
              <w:kern w:val="0"/>
            </w:rPr>
            <w:t>HOUSTON, TEXAS</w:t>
          </w:r>
          <w:r>
            <w:rPr>
              <w:kern w:val="0"/>
            </w:rPr>
            <w:t xml:space="preserve"> </w:t>
          </w:r>
          <w:r>
            <w:rPr>
              <w:spacing w:val="0"/>
              <w:kern w:val="0"/>
            </w:rPr>
            <w:t>77002</w:t>
          </w:r>
        </w:p>
        <w:p>
          <w:pPr>
            <w:pStyle w:val="Normal"/>
            <w:spacing w:before="60" w:after="0"/>
            <w:jc w:val="center"/>
            <w:rPr>
              <w:rFonts w:ascii="EngraversGothic BT" w:hAnsi="EngraversGothic BT" w:cs="EngraversGothic BT"/>
              <w:smallCaps/>
              <w:sz w:val="18"/>
            </w:rPr>
          </w:pPr>
          <w:r>
            <w:rPr>
              <w:rFonts w:cs="EngraversGothic BT" w:ascii="EngraversGothic BT" w:hAnsi="EngraversGothic BT"/>
              <w:smallCaps/>
              <w:kern w:val="2"/>
              <w:sz w:val="18"/>
            </w:rPr>
            <w:t>(</w:t>
          </w:r>
          <w:r>
            <w:rPr>
              <w:rFonts w:cs="EngraversGothic BT" w:ascii="EngraversGothic BT" w:hAnsi="EngraversGothic BT"/>
              <w:smallCaps/>
              <w:spacing w:val="-30"/>
              <w:kern w:val="2"/>
              <w:sz w:val="18"/>
            </w:rPr>
            <w:t>71</w:t>
          </w:r>
          <w:r>
            <w:rPr>
              <w:rFonts w:cs="EngraversGothic BT" w:ascii="EngraversGothic BT" w:hAnsi="EngraversGothic BT"/>
              <w:smallCaps/>
              <w:kern w:val="2"/>
              <w:sz w:val="18"/>
            </w:rPr>
            <w:t>3) 220-5800</w:t>
          </w:r>
        </w:p>
        <w:p>
          <w:pPr>
            <w:pStyle w:val="Normal"/>
            <w:numPr>
              <w:ilvl w:val="0"/>
              <w:numId w:val="0"/>
            </w:numPr>
            <w:spacing w:before="40" w:after="0"/>
            <w:jc w:val="center"/>
            <w:outlineLvl w:val="0"/>
            <w:rPr>
              <w:rFonts w:ascii="EngraversGothic BT" w:hAnsi="EngraversGothic BT" w:cs="EngraversGothic BT"/>
              <w:kern w:val="2"/>
              <w:sz w:val="17"/>
            </w:rPr>
          </w:pPr>
          <w:r>
            <w:rPr>
              <w:rFonts w:cs="EngraversGothic BT" w:ascii="EngraversGothic BT" w:hAnsi="EngraversGothic BT"/>
              <w:smallCaps/>
              <w:kern w:val="2"/>
              <w:sz w:val="17"/>
            </w:rPr>
            <w:t>FAX (</w:t>
          </w:r>
          <w:r>
            <w:rPr>
              <w:rFonts w:cs="EngraversGothic BT" w:ascii="EngraversGothic BT" w:hAnsi="EngraversGothic BT"/>
              <w:smallCaps/>
              <w:spacing w:val="-30"/>
              <w:kern w:val="2"/>
              <w:sz w:val="17"/>
            </w:rPr>
            <w:t>71</w:t>
          </w:r>
          <w:r>
            <w:rPr>
              <w:rFonts w:cs="EngraversGothic BT" w:ascii="EngraversGothic BT" w:hAnsi="EngraversGothic BT"/>
              <w:smallCaps/>
              <w:kern w:val="2"/>
              <w:sz w:val="17"/>
            </w:rPr>
            <w:t>3) 236-0822</w:t>
          </w:r>
        </w:p>
        <w:p>
          <w:pPr>
            <w:pStyle w:val="sapreprinted"/>
            <w:numPr>
              <w:ilvl w:val="0"/>
              <w:numId w:val="0"/>
            </w:numPr>
            <w:spacing w:before="60" w:after="0"/>
            <w:outlineLvl w:val="0"/>
            <w:rPr>
              <w:kern w:val="2"/>
            </w:rPr>
          </w:pPr>
          <w:r>
            <w:rPr>
              <w:kern w:val="2"/>
            </w:rPr>
            <w:t>www.akingump.com</w:t>
          </w:r>
        </w:p>
      </w:tc>
      <w:tc>
        <w:tcPr>
          <w:tcW w:w="2637" w:type="dxa"/>
          <w:tcBorders/>
        </w:tcPr>
        <w:p>
          <w:pPr>
            <w:pStyle w:val="Header"/>
            <w:tabs>
              <w:tab w:val="clear" w:pos="4680"/>
              <w:tab w:val="clear" w:pos="9360"/>
            </w:tabs>
            <w:snapToGrid w:val="false"/>
            <w:rPr/>
          </w:pPr>
          <w:r>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decimal"/>
      <w:lvlText w:val="(%5)"/>
      <w:lvlJc w:val="start"/>
      <w:pPr>
        <w:tabs>
          <w:tab w:val="num" w:pos="3600"/>
        </w:tabs>
        <w:ind w:start="3600" w:hanging="720"/>
      </w:pPr>
    </w:lvl>
    <w:lvl w:ilvl="5">
      <w:start w:val="1"/>
      <w:pStyle w:val="Heading6"/>
      <w:numFmt w:val="lowerLetter"/>
      <w:lvlText w:val="(%6)"/>
      <w:lvlJc w:val="start"/>
      <w:pPr>
        <w:tabs>
          <w:tab w:val="num" w:pos="4320"/>
        </w:tabs>
        <w:ind w:start="4320" w:hanging="720"/>
      </w:pPr>
    </w:lvl>
    <w:lvl w:ilvl="6">
      <w:start w:val="1"/>
      <w:pStyle w:val="Heading7"/>
      <w:numFmt w:val="lowerRoman"/>
      <w:lvlText w:val="(%7)"/>
      <w:lvlJc w:val="start"/>
      <w:pPr>
        <w:tabs>
          <w:tab w:val="num" w:pos="5040"/>
        </w:tabs>
        <w:ind w:start="5040" w:hanging="720"/>
      </w:pPr>
    </w:lvl>
    <w:lvl w:ilvl="7">
      <w:start w:val="1"/>
      <w:pStyle w:val="Heading8"/>
      <w:numFmt w:val="lowerLetter"/>
      <w:lvlText w:val="(%8)"/>
      <w:lvlJc w:val="start"/>
      <w:pPr>
        <w:tabs>
          <w:tab w:val="num" w:pos="5760"/>
        </w:tabs>
        <w:ind w:start="5760" w:hanging="720"/>
      </w:pPr>
    </w:lvl>
    <w:lvl w:ilvl="8">
      <w:start w:val="1"/>
      <w:pStyle w:val="Heading9"/>
      <w:numFmt w:val="lowerRoman"/>
      <w:lvlText w:val="(%9)"/>
      <w:lvlJc w:val="start"/>
      <w:pPr>
        <w:tabs>
          <w:tab w:val="num" w:pos="6480"/>
        </w:tabs>
        <w:ind w:start="6480" w:hanging="72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Base"/>
    <w:next w:val="BodyText"/>
    <w:qFormat/>
    <w:pPr>
      <w:numPr>
        <w:ilvl w:val="0"/>
        <w:numId w:val="1"/>
      </w:numPr>
      <w:ind w:hanging="0" w:start="0" w:end="1440"/>
      <w:outlineLvl w:val="0"/>
    </w:pPr>
    <w:rPr/>
  </w:style>
  <w:style w:type="paragraph" w:styleId="Heading2">
    <w:name w:val="heading 2"/>
    <w:basedOn w:val="HeadingBase"/>
    <w:next w:val="BodyText"/>
    <w:qFormat/>
    <w:pPr>
      <w:numPr>
        <w:ilvl w:val="1"/>
        <w:numId w:val="1"/>
      </w:numPr>
      <w:ind w:hanging="0" w:start="0" w:end="1440"/>
      <w:outlineLvl w:val="1"/>
    </w:pPr>
    <w:rPr/>
  </w:style>
  <w:style w:type="paragraph" w:styleId="Heading3">
    <w:name w:val="heading 3"/>
    <w:basedOn w:val="HeadingBase"/>
    <w:next w:val="BodyText"/>
    <w:qFormat/>
    <w:pPr>
      <w:numPr>
        <w:ilvl w:val="2"/>
        <w:numId w:val="1"/>
      </w:numPr>
      <w:ind w:hanging="0" w:start="0" w:end="1440"/>
      <w:outlineLvl w:val="2"/>
    </w:pPr>
    <w:rPr/>
  </w:style>
  <w:style w:type="paragraph" w:styleId="Heading4">
    <w:name w:val="heading 4"/>
    <w:basedOn w:val="HeadingBase"/>
    <w:next w:val="BodyText"/>
    <w:qFormat/>
    <w:pPr>
      <w:numPr>
        <w:ilvl w:val="3"/>
        <w:numId w:val="1"/>
      </w:numPr>
      <w:ind w:hanging="0" w:start="0" w:end="1440"/>
      <w:outlineLvl w:val="3"/>
    </w:pPr>
    <w:rPr/>
  </w:style>
  <w:style w:type="paragraph" w:styleId="Heading5">
    <w:name w:val="heading 5"/>
    <w:basedOn w:val="HeadingBase"/>
    <w:next w:val="BodyText"/>
    <w:qFormat/>
    <w:pPr>
      <w:numPr>
        <w:ilvl w:val="4"/>
        <w:numId w:val="1"/>
      </w:numPr>
      <w:ind w:hanging="0" w:start="0" w:end="1440"/>
      <w:outlineLvl w:val="4"/>
    </w:pPr>
    <w:rPr/>
  </w:style>
  <w:style w:type="paragraph" w:styleId="Heading6">
    <w:name w:val="heading 6"/>
    <w:basedOn w:val="HeadingBase"/>
    <w:next w:val="BodyText"/>
    <w:qFormat/>
    <w:pPr>
      <w:numPr>
        <w:ilvl w:val="5"/>
        <w:numId w:val="1"/>
      </w:numPr>
      <w:ind w:hanging="0" w:start="0" w:end="1440"/>
      <w:outlineLvl w:val="5"/>
    </w:pPr>
    <w:rPr/>
  </w:style>
  <w:style w:type="paragraph" w:styleId="Heading7">
    <w:name w:val="heading 7"/>
    <w:basedOn w:val="HeadingBase"/>
    <w:next w:val="BodyText"/>
    <w:qFormat/>
    <w:pPr>
      <w:numPr>
        <w:ilvl w:val="6"/>
        <w:numId w:val="1"/>
      </w:numPr>
      <w:outlineLvl w:val="6"/>
    </w:pPr>
    <w:rPr/>
  </w:style>
  <w:style w:type="paragraph" w:styleId="Heading8">
    <w:name w:val="heading 8"/>
    <w:basedOn w:val="HeadingBase"/>
    <w:next w:val="BodyText"/>
    <w:qFormat/>
    <w:pPr>
      <w:numPr>
        <w:ilvl w:val="7"/>
        <w:numId w:val="1"/>
      </w:numPr>
      <w:outlineLvl w:val="7"/>
    </w:pPr>
    <w:rPr/>
  </w:style>
  <w:style w:type="paragraph" w:styleId="Heading9">
    <w:name w:val="heading 9"/>
    <w:basedOn w:val="HeadingBase"/>
    <w:next w:val="BodyText"/>
    <w:qFormat/>
    <w:pPr>
      <w:numPr>
        <w:ilvl w:val="8"/>
        <w:numId w:val="1"/>
      </w:numPr>
      <w:outlineLvl w:val="8"/>
    </w:pPr>
    <w:rPr/>
  </w:style>
  <w:style w:type="character" w:styleId="DefaultParagraphFont">
    <w:name w:val="Default Paragraph Font"/>
    <w:qFormat/>
    <w:rPr/>
  </w:style>
  <w:style w:type="character" w:styleId="Emphasis">
    <w:name w:val="Emphasis"/>
    <w:basedOn w:val="DefaultParagraphFont"/>
    <w:qFormat/>
    <w:rPr>
      <w:i/>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240" w:after="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0" w:after="240"/>
    </w:pPr>
    <w:rPr>
      <w:b/>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spacing w:before="0" w:after="120"/>
      <w:ind w:hanging="0" w:start="360" w:end="0"/>
    </w:pPr>
    <w:rPr/>
  </w:style>
  <w:style w:type="paragraph" w:styleId="BodyTextLeft">
    <w:name w:val="Body Text Left"/>
    <w:basedOn w:val="BodyText"/>
    <w:next w:val="BodyText"/>
    <w:qFormat/>
    <w:pPr>
      <w:ind w:hanging="0" w:start="0" w:end="0"/>
    </w:pPr>
    <w:rPr/>
  </w:style>
  <w:style w:type="paragraph" w:styleId="Date">
    <w:name w:val="Date"/>
    <w:basedOn w:val="Normal"/>
    <w:next w:val="Normal"/>
    <w:qFormat/>
    <w:pPr>
      <w:jc w:val="center"/>
    </w:pPr>
    <w:rPr/>
  </w:style>
  <w:style w:type="paragraph" w:styleId="Attachment">
    <w:name w:val="Attachment"/>
    <w:basedOn w:val="Normal"/>
    <w:next w:val="Normal"/>
    <w:qFormat/>
    <w:pPr/>
    <w:rPr/>
  </w:style>
  <w:style w:type="paragraph" w:styleId="FootnoteText">
    <w:name w:val="footnote text"/>
    <w:basedOn w:val="Normal"/>
    <w:next w:val="Normal"/>
    <w:pPr>
      <w:tabs>
        <w:tab w:val="clear" w:pos="720"/>
        <w:tab w:val="left" w:pos="360" w:leader="none"/>
      </w:tabs>
      <w:spacing w:before="0" w:after="120"/>
    </w:pPr>
    <w:rPr/>
  </w:style>
  <w:style w:type="paragraph" w:styleId="FootnoteIndent">
    <w:name w:val="Footnote Indent"/>
    <w:basedOn w:val="FootnoteText"/>
    <w:qFormat/>
    <w:pPr>
      <w:tabs>
        <w:tab w:val="clear" w:pos="360"/>
      </w:tabs>
      <w:ind w:hanging="0" w:start="720" w:end="360"/>
    </w:pPr>
    <w:rPr/>
  </w:style>
  <w:style w:type="paragraph" w:styleId="FootnoteTextContinued">
    <w:name w:val="Footnote Text Continued"/>
    <w:basedOn w:val="FootnoteText"/>
    <w:qFormat/>
    <w:pPr>
      <w:tabs>
        <w:tab w:val="clear" w:pos="360"/>
      </w:tabs>
    </w:pPr>
    <w:rPr/>
  </w:style>
  <w:style w:type="paragraph" w:styleId="HeadingCentered">
    <w:name w:val="Heading Centered"/>
    <w:basedOn w:val="Normal"/>
    <w:next w:val="BodyText"/>
    <w:qFormat/>
    <w:pPr>
      <w:keepNext w:val="true"/>
      <w:keepLines/>
      <w:spacing w:before="0" w:after="240"/>
      <w:jc w:val="center"/>
    </w:pPr>
    <w:rPr>
      <w:b/>
      <w:sz w:val="48"/>
    </w:rPr>
  </w:style>
  <w:style w:type="paragraph" w:styleId="Indent">
    <w:name w:val="Indent"/>
    <w:basedOn w:val="BodyText"/>
    <w:next w:val="BodyTextLeft"/>
    <w:qFormat/>
    <w:pPr>
      <w:ind w:hanging="0" w:start="1440" w:end="1440"/>
    </w:pPr>
    <w:rPr/>
  </w:style>
  <w:style w:type="paragraph" w:styleId="Initials">
    <w:name w:val="Initials"/>
    <w:basedOn w:val="Normal"/>
    <w:qFormat/>
    <w:pPr/>
    <w:rPr/>
  </w:style>
  <w:style w:type="paragraph" w:styleId="TOC1">
    <w:name w:val="toc 1"/>
    <w:basedOn w:val="Normal"/>
    <w:next w:val="Normal"/>
    <w:pPr>
      <w:tabs>
        <w:tab w:val="clear" w:pos="720"/>
        <w:tab w:val="right" w:pos="9360" w:leader="dot"/>
      </w:tabs>
      <w:spacing w:before="240" w:after="0"/>
      <w:ind w:hanging="0" w:start="0" w:end="720"/>
    </w:pPr>
    <w:rPr>
      <w:lang w:val="en-CA"/>
    </w:rPr>
  </w:style>
  <w:style w:type="paragraph" w:styleId="TOC2">
    <w:name w:val="toc 2"/>
    <w:basedOn w:val="Normal"/>
    <w:next w:val="Normal"/>
    <w:pPr>
      <w:tabs>
        <w:tab w:val="clear" w:pos="720"/>
        <w:tab w:val="right" w:pos="9360" w:leader="dot"/>
      </w:tabs>
      <w:spacing w:before="240" w:after="0"/>
      <w:ind w:hanging="0" w:start="245" w:end="720"/>
    </w:pPr>
    <w:rPr>
      <w:lang w:val="en-CA"/>
    </w:rPr>
  </w:style>
  <w:style w:type="paragraph" w:styleId="TOC3">
    <w:name w:val="toc 3"/>
    <w:basedOn w:val="Normal"/>
    <w:next w:val="Normal"/>
    <w:pPr>
      <w:tabs>
        <w:tab w:val="clear" w:pos="720"/>
        <w:tab w:val="right" w:pos="9360" w:leader="dot"/>
      </w:tabs>
      <w:spacing w:before="240" w:after="0"/>
      <w:ind w:hanging="0" w:start="475" w:end="720"/>
    </w:pPr>
    <w:rPr>
      <w:lang w:val="en-CA"/>
    </w:rPr>
  </w:style>
  <w:style w:type="paragraph" w:styleId="TOC4">
    <w:name w:val="toc 4"/>
    <w:basedOn w:val="Normal"/>
    <w:next w:val="Normal"/>
    <w:pPr>
      <w:tabs>
        <w:tab w:val="clear" w:pos="720"/>
        <w:tab w:val="right" w:pos="9360" w:leader="dot"/>
      </w:tabs>
      <w:spacing w:before="240" w:after="0"/>
      <w:ind w:hanging="0" w:start="720" w:end="720"/>
    </w:pPr>
    <w:rPr>
      <w:lang w:val="en-CA"/>
    </w:rPr>
  </w:style>
  <w:style w:type="paragraph" w:styleId="TOC5">
    <w:name w:val="toc 5"/>
    <w:basedOn w:val="Normal"/>
    <w:next w:val="Normal"/>
    <w:pPr>
      <w:tabs>
        <w:tab w:val="clear" w:pos="720"/>
        <w:tab w:val="right" w:pos="9360" w:leader="dot"/>
      </w:tabs>
      <w:spacing w:before="240" w:after="0"/>
      <w:ind w:hanging="0" w:start="965" w:end="720"/>
    </w:pPr>
    <w:rPr>
      <w:lang w:val="en-CA"/>
    </w:rPr>
  </w:style>
  <w:style w:type="paragraph" w:styleId="TOC6">
    <w:name w:val="toc 6"/>
    <w:basedOn w:val="Normal"/>
    <w:next w:val="Normal"/>
    <w:pPr>
      <w:tabs>
        <w:tab w:val="clear" w:pos="720"/>
        <w:tab w:val="right" w:pos="9360" w:leader="dot"/>
      </w:tabs>
      <w:spacing w:before="240" w:after="0"/>
      <w:ind w:hanging="0" w:start="1200" w:end="720"/>
    </w:pPr>
    <w:rPr>
      <w:lang w:val="en-CA"/>
    </w:rPr>
  </w:style>
  <w:style w:type="paragraph" w:styleId="TOC7">
    <w:name w:val="toc 7"/>
    <w:basedOn w:val="Normal"/>
    <w:next w:val="Normal"/>
    <w:pPr>
      <w:tabs>
        <w:tab w:val="clear" w:pos="720"/>
        <w:tab w:val="right" w:pos="9360" w:leader="dot"/>
      </w:tabs>
      <w:spacing w:before="240" w:after="0"/>
      <w:ind w:hanging="0" w:start="1440" w:end="720"/>
    </w:pPr>
    <w:rPr>
      <w:lang w:val="en-CA"/>
    </w:rPr>
  </w:style>
  <w:style w:type="paragraph" w:styleId="TOC8">
    <w:name w:val="toc 8"/>
    <w:basedOn w:val="Normal"/>
    <w:next w:val="Normal"/>
    <w:pPr>
      <w:tabs>
        <w:tab w:val="clear" w:pos="720"/>
        <w:tab w:val="right" w:pos="9360" w:leader="dot"/>
      </w:tabs>
      <w:spacing w:before="240" w:after="0"/>
      <w:ind w:hanging="0" w:start="1680" w:end="720"/>
    </w:pPr>
    <w:rPr>
      <w:lang w:val="en-CA"/>
    </w:rPr>
  </w:style>
  <w:style w:type="paragraph" w:styleId="TOC9">
    <w:name w:val="toc 9"/>
    <w:basedOn w:val="Normal"/>
    <w:next w:val="Normal"/>
    <w:pPr>
      <w:tabs>
        <w:tab w:val="clear" w:pos="720"/>
        <w:tab w:val="right" w:pos="9360" w:leader="dot"/>
      </w:tabs>
      <w:spacing w:before="240" w:after="0"/>
      <w:ind w:hanging="0" w:start="1920" w:end="720"/>
    </w:pPr>
    <w:rPr>
      <w:lang w:val="en-CA"/>
    </w:rPr>
  </w:style>
  <w:style w:type="paragraph" w:styleId="cc">
    <w:name w:val="cc"/>
    <w:basedOn w:val="Normal"/>
    <w:qFormat/>
    <w:pPr>
      <w:ind w:hanging="720" w:start="720" w:end="0"/>
    </w:pPr>
    <w:rPr/>
  </w:style>
  <w:style w:type="paragraph" w:styleId="spacemarker">
    <w:name w:val="spacemarker"/>
    <w:basedOn w:val="Normal"/>
    <w:qFormat/>
    <w:pPr>
      <w:spacing w:before="1440" w:after="0"/>
    </w:pPr>
    <w:rPr/>
  </w:style>
  <w:style w:type="paragraph" w:styleId="Letterhead">
    <w:name w:val="Letterhead"/>
    <w:basedOn w:val="Normal"/>
    <w:qFormat/>
    <w:pPr>
      <w:suppressAutoHyphens w:val="true"/>
      <w:spacing w:before="30" w:after="0"/>
      <w:jc w:val="center"/>
    </w:pPr>
    <w:rPr>
      <w:rFonts w:ascii="EngraversGothic BT" w:hAnsi="EngraversGothic BT" w:cs="EngraversGothic BT"/>
      <w:smallCaps/>
      <w:spacing w:val="30"/>
      <w:kern w:val="2"/>
      <w:sz w:val="18"/>
      <w:lang w:val="en-CA"/>
    </w:rPr>
  </w:style>
  <w:style w:type="paragraph" w:styleId="sapreprinted">
    <w:name w:val="sapreprinted"/>
    <w:basedOn w:val="Normal"/>
    <w:qFormat/>
    <w:pPr>
      <w:spacing w:before="2880" w:after="240"/>
      <w:jc w:val="center"/>
    </w:pPr>
    <w:rPr>
      <w:rFonts w:ascii="Arial" w:hAnsi="Arial" w:cs="Arial"/>
      <w:sz w:val="1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Hougmemo.dot</Template>
  <TotalTime>267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2001-02-07T17:41:00Z</dcterms:created>
  <dc:creator>Blaine Yamagata</dc:creator>
  <dc:description/>
  <dc:language>en-CA</dc:language>
  <cp:lastModifiedBy>Blaine Yamagata</cp:lastModifiedBy>
  <cp:lastPrinted>2001-02-18T12:28:00Z</cp:lastPrinted>
  <dcterms:modified xsi:type="dcterms:W3CDTF">2001-02-18T17:59:00Z</dcterms:modified>
  <cp:revision>4</cp:revision>
  <dc:subject/>
  <dc:title>MEMORANDUM</dc:title>
</cp:coreProperties>
</file>