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Risk Management &amp; Trading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jc w:val="center"/>
        <w:rPr>
          <w:sz w:val="22"/>
        </w:rPr>
      </w:pPr>
      <w:r>
        <w:rPr>
          <w:sz w:val="22"/>
        </w:rPr>
      </w:r>
    </w:p>
    <w:p>
      <w:pPr>
        <w:pStyle w:val="Normal"/>
        <w:jc w:val="center"/>
        <w:rPr>
          <w:b/>
          <w:sz w:val="22"/>
        </w:rPr>
      </w:pPr>
      <w:r>
        <w:rPr>
          <w:b/>
          <w:sz w:val="22"/>
        </w:rPr>
        <w:t>This Revised Confirmation supersedes and replaces all prior Confirmations relating to the subject matter hereof, including the Confirmation dated as of January 13, 2000 made and entered into between the parties hereto.</w:t>
      </w:r>
    </w:p>
    <w:p>
      <w:pPr>
        <w:pStyle w:val="Normal"/>
        <w:jc w:val="center"/>
        <w:rPr>
          <w:b/>
          <w:sz w:val="22"/>
        </w:rPr>
      </w:pPr>
      <w:r>
        <w:rPr>
          <w:b/>
          <w:sz w:val="22"/>
        </w:rPr>
      </w:r>
    </w:p>
    <w:p>
      <w:pPr>
        <w:pStyle w:val="Heading1"/>
        <w:ind w:hanging="0" w:start="0"/>
        <w:rPr/>
      </w:pPr>
      <w:r>
        <w:rPr/>
        <w:t>Revision to Enron South America LLC Signature Lines</w:t>
      </w:r>
    </w:p>
    <w:p>
      <w:pPr>
        <w:pStyle w:val="Normal"/>
        <w:rPr/>
      </w:pPr>
      <w:r>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March 28, 2000</w:t>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Enron South America LLC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713-646-7117</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Risk Management &amp; Trading Corp. (“RISKMANTRA”)</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N75085.1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July 27, 1999</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sz w:val="22"/>
              </w:rPr>
            </w:pPr>
            <w:r>
              <w:rPr>
                <w:sz w:val="22"/>
              </w:rPr>
              <w:fldChar w:fldCharType="begin"/>
            </w:r>
            <w:r>
              <w:rPr>
                <w:sz w:val="22"/>
              </w:rPr>
              <w:instrText xml:space="preserve"> MERGEFIELD QtyPerPeriod </w:instrText>
            </w:r>
            <w:r>
              <w:rPr>
                <w:sz w:val="22"/>
              </w:rPr>
              <w:fldChar w:fldCharType="separate"/>
            </w:r>
            <w:r>
              <w:rPr>
                <w:sz w:val="22"/>
              </w:rPr>
              <w:t>100,000 Barrels per month</w:t>
            </w:r>
            <w:r>
              <w:rPr>
                <w:sz w:val="22"/>
              </w:rPr>
              <w:fldChar w:fldCharType="end"/>
            </w:r>
          </w:p>
        </w:tc>
      </w:tr>
    </w:tbl>
    <w:p>
      <w:pPr>
        <w:pStyle w:val="Normal"/>
        <w:rPr>
          <w:sz w:val="22"/>
        </w:rPr>
      </w:pPr>
      <w:r>
        <w:rPr>
          <w:sz w:val="22"/>
        </w:rPr>
      </w:r>
    </w:p>
    <w:p>
      <w:pPr>
        <w:pStyle w:val="Normal"/>
        <w:ind w:firstLine="720" w:end="0"/>
        <w:rPr>
          <w:sz w:val="22"/>
        </w:rPr>
      </w:pPr>
      <w:r>
        <w:rPr>
          <w:sz w:val="22"/>
        </w:rPr>
        <w:t>Commodity:</w:t>
        <w:tab/>
        <w:tab/>
        <w:tab/>
        <w:tab/>
      </w:r>
      <w:r>
        <w:rPr>
          <w:sz w:val="22"/>
        </w:rPr>
        <w:fldChar w:fldCharType="begin"/>
      </w:r>
      <w:r>
        <w:rPr>
          <w:sz w:val="22"/>
        </w:rPr>
        <w:instrText xml:space="preserve"> MERGEFIELD CommodityName </w:instrText>
      </w:r>
      <w:r>
        <w:rPr>
          <w:sz w:val="22"/>
        </w:rPr>
        <w:fldChar w:fldCharType="separate"/>
      </w:r>
      <w:r>
        <w:rPr>
          <w:sz w:val="22"/>
        </w:rPr>
        <w:t>Crude Oil</w:t>
      </w:r>
      <w:r>
        <w:rPr>
          <w:sz w:val="22"/>
        </w:rPr>
        <w:fldChar w:fldCharType="end"/>
      </w:r>
    </w:p>
    <w:p>
      <w:pPr>
        <w:pStyle w:val="Normal"/>
        <w:rPr>
          <w:sz w:val="22"/>
        </w:rPr>
      </w:pPr>
      <w:r>
        <w:rPr>
          <w:sz w:val="22"/>
        </w:rPr>
      </w:r>
    </w:p>
    <w:p>
      <w:pPr>
        <w:pStyle w:val="Normal"/>
        <w:ind w:firstLine="720" w:end="0"/>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 xml:space="preserve">Barrels (BBL) ( 42 U. S. Gallons ) </w:t>
      </w:r>
      <w:r>
        <w:rPr>
          <w:sz w:val="22"/>
        </w:rPr>
        <w:fldChar w:fldCharType="end"/>
      </w:r>
    </w:p>
    <w:p>
      <w:pPr>
        <w:pStyle w:val="Normal"/>
        <w:rPr>
          <w:sz w:val="22"/>
        </w:rPr>
      </w:pPr>
      <w:r>
        <w:rPr>
          <w:sz w:val="22"/>
        </w:rPr>
      </w:r>
    </w:p>
    <w:p>
      <w:pPr>
        <w:pStyle w:val="Normal"/>
        <w:ind w:firstLine="720" w:end="0"/>
        <w:rPr>
          <w:sz w:val="22"/>
        </w:rPr>
      </w:pPr>
      <w:r>
        <w:rPr>
          <w:sz w:val="22"/>
        </w:rPr>
        <w:t>Trade Date:</w:t>
        <w:tab/>
        <w:tab/>
        <w:tab/>
        <w:tab/>
      </w:r>
      <w:r>
        <w:rPr>
          <w:sz w:val="22"/>
        </w:rPr>
        <w:fldChar w:fldCharType="begin"/>
      </w:r>
      <w:r>
        <w:rPr>
          <w:sz w:val="22"/>
        </w:rPr>
        <w:instrText xml:space="preserve"> MERGEFIELD DealDate </w:instrText>
      </w:r>
      <w:r>
        <w:rPr>
          <w:sz w:val="22"/>
        </w:rPr>
        <w:fldChar w:fldCharType="separate"/>
      </w:r>
      <w:r>
        <w:rPr>
          <w:sz w:val="22"/>
        </w:rPr>
        <w:t>January 13, 2000</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December 01, 2004</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2006</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ind w:firstLine="720" w:end="0"/>
              <w:jc w:val="both"/>
              <w:rPr>
                <w:sz w:val="22"/>
              </w:rPr>
            </w:pPr>
            <w:r>
              <w:rPr>
                <w:sz w:val="22"/>
              </w:rPr>
              <w:t>Calculation Period(s):</w:t>
            </w:r>
          </w:p>
        </w:tc>
        <w:tc>
          <w:tcPr>
            <w:tcW w:w="6012" w:type="dxa"/>
            <w:tcBorders/>
          </w:tcPr>
          <w:p>
            <w:pPr>
              <w:pStyle w:val="Normal"/>
              <w:ind w:start="-108" w:end="0"/>
              <w:jc w:val="both"/>
              <w:rPr>
                <w:sz w:val="22"/>
              </w:rPr>
            </w:pPr>
            <w:r>
              <w:rPr>
                <w:sz w:val="22"/>
              </w:rPr>
              <w:t xml:space="preserve">See Attachment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p>
      <w:pPr>
        <w:pStyle w:val="Normal"/>
        <w:keepNext w:val="true"/>
        <w:keepLines/>
        <w:rPr/>
      </w:pPr>
      <w:r>
        <w:rPr>
          <w:b/>
          <w:sz w:val="22"/>
        </w:rPr>
        <w:t>Fixed Amount Details:</w:t>
      </w:r>
      <w:r>
        <w:rPr>
          <w:sz w:val="22"/>
        </w:rPr>
        <w:tab/>
        <w:tab/>
        <w:tab/>
      </w:r>
    </w:p>
    <w:p>
      <w:pPr>
        <w:pStyle w:val="Normal"/>
        <w:keepLines/>
        <w:rPr>
          <w:sz w:val="22"/>
        </w:rPr>
      </w:pPr>
      <w:r>
        <w:rPr>
          <w:sz w:val="22"/>
        </w:rPr>
      </w:r>
    </w:p>
    <w:p>
      <w:pPr>
        <w:pStyle w:val="Normal"/>
        <w:keepNext w:val="true"/>
        <w:keepLines/>
        <w:ind w:firstLine="720" w:end="0"/>
        <w:rPr>
          <w:sz w:val="22"/>
        </w:rPr>
      </w:pPr>
      <w:r>
        <w:rPr>
          <w:sz w:val="22"/>
        </w:rPr>
        <w:t xml:space="preserve">Fixed Price Payer: </w:t>
        <w:tab/>
        <w:tab/>
        <w:tab/>
      </w: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p>
      <w:pPr>
        <w:pStyle w:val="Normal"/>
        <w:keepLines/>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keepLines/>
              <w:ind w:firstLine="720" w:end="0"/>
              <w:rPr>
                <w:sz w:val="22"/>
              </w:rPr>
            </w:pPr>
            <w:r>
              <w:rPr>
                <w:sz w:val="22"/>
              </w:rPr>
              <w:t>Fixed Price:</w:t>
            </w:r>
          </w:p>
        </w:tc>
        <w:tc>
          <w:tcPr>
            <w:tcW w:w="6102" w:type="dxa"/>
            <w:tcBorders/>
          </w:tcPr>
          <w:p>
            <w:pPr>
              <w:pStyle w:val="Normal"/>
              <w:keepLines/>
              <w:jc w:val="both"/>
              <w:rPr>
                <w:sz w:val="22"/>
              </w:rPr>
            </w:pPr>
            <w:r>
              <w:rPr>
                <w:sz w:val="22"/>
              </w:rPr>
              <w:fldChar w:fldCharType="begin"/>
            </w:r>
            <w:r>
              <w:rPr>
                <w:sz w:val="22"/>
              </w:rPr>
              <w:instrText xml:space="preserve"> MERGEFIELD FixedPrice </w:instrText>
            </w:r>
            <w:r>
              <w:rPr>
                <w:sz w:val="22"/>
              </w:rPr>
              <w:fldChar w:fldCharType="separate"/>
            </w:r>
            <w:r>
              <w:rPr>
                <w:sz w:val="22"/>
              </w:rPr>
              <w:t>See Attachment</w:t>
            </w:r>
            <w:r>
              <w:rPr>
                <w:sz w:val="22"/>
              </w:rPr>
              <w:fldChar w:fldCharType="end"/>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sz w:val="22"/>
        </w:rPr>
      </w:pPr>
      <w:r>
        <w:rPr>
          <w:sz w:val="22"/>
        </w:rPr>
        <w:t xml:space="preserve">Floating Price Payer: </w:t>
        <w:tab/>
        <w:tab/>
        <w:tab/>
      </w: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last scheduled Trading Day of the NYMEX Light Sweet Crude Oil Futures Contract for the applicable Calculation Period.</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B identifies this Transaction as a hedging transaction for federal income tax purposes.  Party B hereby identifies the Commodity and the Notional Quantity described in this Confirmation as the property being hedged.  If Party B is a domestic entity, it uses the method of tax accounting set forth in Treasury Regulation section 1.446-3 for hedging transactions involving notional principal contracts.</w:t>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ab/>
      </w:r>
    </w:p>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Risk Management &amp; Trading Corp.</w:t>
            </w:r>
            <w:r>
              <w:rPr>
                <w:sz w:val="22"/>
              </w:rPr>
              <w:fldChar w:fldCharType="end"/>
            </w:r>
          </w:p>
          <w:p>
            <w:pPr>
              <w:pStyle w:val="Normal"/>
              <w:rPr>
                <w:sz w:val="22"/>
              </w:rPr>
            </w:pPr>
            <w:r>
              <w:rPr>
                <w:sz w:val="22"/>
              </w:rPr>
              <w:tab/>
              <w:tab/>
              <w:tab/>
              <w:tab/>
              <w:tab/>
            </w:r>
          </w:p>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N75085.1</w:t>
            </w:r>
            <w:r>
              <w:rPr>
                <w:sz w:val="22"/>
              </w:rPr>
              <w:fldChar w:fldCharType="end"/>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Enron South America LLC</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pPr>
            <w:r>
              <w:rPr>
                <w:sz w:val="22"/>
              </w:rPr>
              <w:t xml:space="preserve">Title:  </w:t>
            </w:r>
            <w:r>
              <w:rPr>
                <w:sz w:val="22"/>
                <w:u w:val="single"/>
              </w:rPr>
              <w:tab/>
              <w:tab/>
              <w:tab/>
              <w:tab/>
              <w:tab/>
            </w:r>
          </w:p>
          <w:p>
            <w:pPr>
              <w:pStyle w:val="Normal"/>
              <w:rPr/>
            </w:pPr>
            <w:r>
              <w:rPr>
                <w:sz w:val="22"/>
              </w:rPr>
              <w:t>Location:</w:t>
            </w:r>
            <w:r>
              <w:rPr>
                <w:sz w:val="22"/>
                <w:u w:val="single"/>
              </w:rPr>
              <w:tab/>
              <w:tab/>
              <w:tab/>
              <w:tab/>
            </w:r>
            <w:r>
              <w:rPr>
                <w:sz w:val="22"/>
              </w:rPr>
              <w:tab/>
              <w:tab/>
              <w:tab/>
              <w:tab/>
            </w:r>
          </w:p>
        </w:tc>
      </w:tr>
    </w:tbl>
    <w:p>
      <w:pPr>
        <w:pStyle w:val="Normal"/>
        <w:rPr/>
      </w:pPr>
      <w:r>
        <w:rPr/>
        <w:tab/>
        <w:tab/>
        <w:tab/>
        <w:tab/>
        <w:tab/>
      </w:r>
      <w:r>
        <w:br w:type="page"/>
      </w:r>
    </w:p>
    <w:p>
      <w:pPr>
        <w:pStyle w:val="Normal"/>
        <w:rPr/>
      </w:pPr>
      <w:r>
        <w:rPr/>
        <w:tab/>
        <w:tab/>
        <w:tab/>
        <w:tab/>
        <w:tab/>
        <w:t xml:space="preserve">       Attachment</w:t>
      </w:r>
    </w:p>
    <w:p>
      <w:pPr>
        <w:pStyle w:val="Normal"/>
        <w:rPr/>
      </w:pPr>
      <w:r>
        <w:rPr/>
        <w:tab/>
        <w:tab/>
        <w:tab/>
        <w:tab/>
        <w:tab/>
        <w:t>Contract No. N75085.1</w:t>
      </w:r>
    </w:p>
    <w:p>
      <w:pPr>
        <w:pStyle w:val="Normal"/>
        <w:rPr/>
      </w:pPr>
      <w:r>
        <w:rPr/>
      </w:r>
    </w:p>
    <w:p>
      <w:pPr>
        <w:pStyle w:val="Normal"/>
        <w:rPr/>
      </w:pPr>
      <w:r>
        <w:rPr/>
      </w:r>
    </w:p>
    <w:p>
      <w:pPr>
        <w:pStyle w:val="Normal"/>
        <w:rPr/>
      </w:pPr>
      <w:r>
        <w:rPr/>
        <w:tab/>
        <w:tab/>
        <w:t>Quantity Measurement: Barrels</w:t>
      </w:r>
    </w:p>
    <w:p>
      <w:pPr>
        <w:pStyle w:val="Normal"/>
        <w:rPr/>
      </w:pPr>
      <w:r>
        <w:rPr/>
      </w:r>
    </w:p>
    <w:p>
      <w:pPr>
        <w:pStyle w:val="Normal"/>
        <w:rPr/>
      </w:pPr>
      <w:r>
        <w:rPr/>
      </w:r>
    </w:p>
    <w:p>
      <w:pPr>
        <w:pStyle w:val="Normal"/>
        <w:rPr/>
      </w:pPr>
      <w:r>
        <w:rPr/>
        <w:tab/>
        <w:tab/>
        <w:t xml:space="preserve">                                    Quantity Per Month</w:t>
      </w:r>
    </w:p>
    <w:p>
      <w:pPr>
        <w:pStyle w:val="Normal"/>
        <w:rPr/>
      </w:pPr>
      <w:r>
        <w:rPr/>
        <w:tab/>
        <w:tab/>
        <w:t>Calculation                     Per Calculation                    Fixed Price</w:t>
      </w:r>
    </w:p>
    <w:p>
      <w:pPr>
        <w:pStyle w:val="Normal"/>
        <w:rPr/>
      </w:pPr>
      <w:r>
        <w:rPr/>
        <w:tab/>
        <w:tab/>
        <w:t xml:space="preserve">     Period                             Period                            ( per Barrels )</w:t>
      </w:r>
    </w:p>
    <w:p>
      <w:pPr>
        <w:pStyle w:val="Normal"/>
        <w:rPr/>
      </w:pPr>
      <w:r>
        <w:rPr/>
        <w:tab/>
        <w:tab/>
        <w:t>--------------------            ---------------------              ----------------------</w:t>
      </w:r>
    </w:p>
    <w:p>
      <w:pPr>
        <w:pStyle w:val="Normal"/>
        <w:rPr/>
      </w:pPr>
      <w:r>
        <w:rPr/>
      </w:r>
    </w:p>
    <w:p>
      <w:pPr>
        <w:pStyle w:val="Normal"/>
        <w:rPr/>
      </w:pPr>
      <w:r>
        <w:rPr/>
        <w:tab/>
        <w:tab/>
        <w:t>December, 2004</w:t>
        <w:tab/>
        <w:tab/>
        <w:t>100,000</w:t>
        <w:tab/>
        <w:tab/>
        <w:t xml:space="preserve"> $17.40000 </w:t>
      </w:r>
    </w:p>
    <w:p>
      <w:pPr>
        <w:pStyle w:val="Normal"/>
        <w:rPr/>
      </w:pPr>
      <w:r>
        <w:rPr/>
        <w:tab/>
        <w:tab/>
        <w:t>December, 2005</w:t>
        <w:tab/>
        <w:tab/>
        <w:t>100,000</w:t>
        <w:tab/>
        <w:tab/>
        <w:t xml:space="preserve"> $17.40000 </w:t>
      </w:r>
    </w:p>
    <w:p>
      <w:pPr>
        <w:pStyle w:val="Normal"/>
        <w:rPr/>
      </w:pPr>
      <w:r>
        <w:rPr/>
        <w:tab/>
        <w:tab/>
        <w:t>December, 2006</w:t>
        <w:tab/>
        <w:tab/>
        <w:t>100,000</w:t>
        <w:tab/>
        <w:tab/>
        <w:t xml:space="preserve"> $17.50000 </w:t>
      </w:r>
    </w:p>
    <w:p>
      <w:pPr>
        <w:pStyle w:val="Normal"/>
        <w:rPr/>
      </w:pPr>
      <w:r>
        <w:rPr/>
      </w:r>
    </w:p>
    <w:p>
      <w:pPr>
        <w:pStyle w:val="Normal"/>
        <w:rPr/>
      </w:pPr>
      <w:r>
        <w:rPr/>
      </w:r>
    </w:p>
    <w:p>
      <w:pPr>
        <w:pStyle w:val="Normal"/>
        <w:rPr/>
      </w:pPr>
      <w:r>
        <w:rPr/>
      </w:r>
    </w:p>
    <w:p>
      <w:pPr>
        <w:pStyle w:val="Normal"/>
        <w:rPr/>
      </w:pPr>
      <w:r>
        <w:rPr/>
      </w:r>
    </w:p>
    <w:p>
      <w:pPr>
        <w:pStyle w:val="Normal"/>
        <w:rPr/>
      </w:pPr>
      <w:r>
        <w:rPr/>
        <w:tab/>
        <w:tab/>
        <w:tab/>
        <w:t>End Of Attachment</w:t>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N75085.1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2000-03-28T15:04:00Z</dcterms:created>
  <dc:creator>ECT</dc:creator>
  <dc:description/>
  <dc:language>en-CA</dc:language>
  <cp:lastModifiedBy>Sheetal H. Patel</cp:lastModifiedBy>
  <dcterms:modified xsi:type="dcterms:W3CDTF">2000-03-28T15:04:00Z</dcterms:modified>
  <cp:revision>2</cp:revision>
  <dc:subject>Enron South America LLC</dc:subject>
  <dc:title>N75085.1</dc:title>
</cp:coreProperties>
</file>