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1139190" cy="11347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p>
      <w:pPr>
        <w:pStyle w:val="Heading"/>
        <w:rPr/>
      </w:pPr>
      <w:r>
        <w:rPr/>
      </w:r>
    </w:p>
    <w:p>
      <w:pPr>
        <w:pStyle w:val="Heading"/>
        <w:rPr/>
      </w:pPr>
      <w:r>
        <w:rPr/>
      </w:r>
    </w:p>
    <w:p>
      <w:pPr>
        <w:pStyle w:val="Heading"/>
        <w:rPr>
          <w:sz w:val="32"/>
        </w:rPr>
      </w:pPr>
      <w:r>
        <w:rPr>
          <w:sz w:val="32"/>
        </w:rPr>
        <w:t>DRAFT – 1 Feb 01 – subject to discussion</w:t>
      </w:r>
    </w:p>
    <w:p>
      <w:pPr>
        <w:pStyle w:val="Heading"/>
        <w:rPr>
          <w:sz w:val="32"/>
        </w:rPr>
      </w:pPr>
      <w:r>
        <w:rPr>
          <w:sz w:val="32"/>
        </w:rPr>
      </w:r>
    </w:p>
    <w:p>
      <w:pPr>
        <w:pStyle w:val="Heading"/>
        <w:rPr/>
      </w:pPr>
      <w:r>
        <w:rPr/>
      </w:r>
    </w:p>
    <w:tbl>
      <w:tblPr>
        <w:tblW w:w="10398" w:type="dxa"/>
        <w:jc w:val="start"/>
        <w:tblInd w:w="200" w:type="dxa"/>
        <w:tblLayout w:type="fixed"/>
        <w:tblCellMar>
          <w:top w:w="0" w:type="dxa"/>
          <w:start w:w="108" w:type="dxa"/>
          <w:bottom w:w="0" w:type="dxa"/>
          <w:end w:w="108" w:type="dxa"/>
        </w:tblCellMar>
      </w:tblPr>
      <w:tblGrid>
        <w:gridCol w:w="708"/>
        <w:gridCol w:w="6045"/>
        <w:gridCol w:w="990"/>
        <w:gridCol w:w="265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Files</w:t>
            </w:r>
          </w:p>
        </w:tc>
        <w:tc>
          <w:tcPr>
            <w:tcW w:w="990" w:type="dxa"/>
            <w:tcBorders/>
          </w:tcPr>
          <w:p>
            <w:pPr>
              <w:pStyle w:val="Normal"/>
              <w:snapToGrid w:val="false"/>
              <w:ind w:start="-180" w:end="0"/>
              <w:rPr/>
            </w:pPr>
            <w:r>
              <w:rPr/>
            </w:r>
          </w:p>
        </w:tc>
        <w:tc>
          <w:tcPr>
            <w:tcW w:w="2655" w:type="dxa"/>
            <w:tcBorders/>
          </w:tcPr>
          <w:p>
            <w:pPr>
              <w:pStyle w:val="Normal"/>
              <w:snapToGrid w:val="false"/>
              <w:rPr/>
            </w:pPr>
            <w:r>
              <w:rPr/>
            </w:r>
          </w:p>
        </w:tc>
      </w:tr>
      <w:tr>
        <w:trPr>
          <w:trHeight w:val="216" w:hRule="exact"/>
        </w:trPr>
        <w:tc>
          <w:tcPr>
            <w:tcW w:w="708" w:type="dxa"/>
            <w:tcBorders/>
          </w:tcPr>
          <w:p>
            <w:pPr>
              <w:pStyle w:val="Normal"/>
              <w:snapToGrid w:val="false"/>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655" w:type="dxa"/>
            <w:tcBorders/>
          </w:tcPr>
          <w:p>
            <w:pPr>
              <w:pStyle w:val="Normal"/>
              <w:snapToGrid w:val="false"/>
              <w:rPr>
                <w:sz w:val="18"/>
              </w:rPr>
            </w:pPr>
            <w:r>
              <w:rPr>
                <w:sz w:val="18"/>
              </w:rPr>
            </w:r>
          </w:p>
        </w:tc>
      </w:tr>
      <w:tr>
        <w:trPr>
          <w:trHeight w:val="300" w:hRule="exact"/>
        </w:trPr>
        <w:tc>
          <w:tcPr>
            <w:tcW w:w="708" w:type="dxa"/>
            <w:tcBorders/>
          </w:tcPr>
          <w:p>
            <w:pPr>
              <w:pStyle w:val="Normal"/>
              <w:jc w:val="end"/>
              <w:rPr>
                <w:sz w:val="16"/>
              </w:rPr>
            </w:pPr>
            <w:r>
              <w:rPr>
                <w:sz w:val="16"/>
              </w:rPr>
              <w:t>From:</w:t>
            </w:r>
          </w:p>
        </w:tc>
        <w:tc>
          <w:tcPr>
            <w:tcW w:w="6045" w:type="dxa"/>
            <w:tcBorders/>
          </w:tcPr>
          <w:p>
            <w:pPr>
              <w:pStyle w:val="From"/>
              <w:rPr/>
            </w:pPr>
            <w:r>
              <w:rPr/>
              <w:t>Catharina Clabots, Morris Clark, Janine Juggins</w:t>
            </w:r>
          </w:p>
        </w:tc>
        <w:tc>
          <w:tcPr>
            <w:tcW w:w="990" w:type="dxa"/>
            <w:tcBorders/>
          </w:tcPr>
          <w:p>
            <w:pPr>
              <w:pStyle w:val="Normal"/>
              <w:ind w:start="-180" w:end="0"/>
              <w:jc w:val="end"/>
              <w:rPr>
                <w:sz w:val="16"/>
              </w:rPr>
            </w:pPr>
            <w:r>
              <w:rPr>
                <w:sz w:val="16"/>
              </w:rPr>
              <w:t>Department:</w:t>
            </w:r>
          </w:p>
        </w:tc>
        <w:tc>
          <w:tcPr>
            <w:tcW w:w="2655" w:type="dxa"/>
            <w:tcBorders/>
          </w:tcPr>
          <w:p>
            <w:pPr>
              <w:pStyle w:val="Department"/>
              <w:rPr/>
            </w:pPr>
            <w:bookmarkStart w:id="0" w:name="From"/>
            <w:bookmarkEnd w:id="0"/>
            <w:r>
              <w:rPr/>
              <w:t>ECT-Europe</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65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Enron Softs trading structure</w:t>
            </w:r>
          </w:p>
        </w:tc>
        <w:tc>
          <w:tcPr>
            <w:tcW w:w="990" w:type="dxa"/>
            <w:tcBorders>
              <w:bottom w:val="single" w:sz="12" w:space="0" w:color="000000"/>
            </w:tcBorders>
          </w:tcPr>
          <w:p>
            <w:pPr>
              <w:pStyle w:val="Normal"/>
              <w:ind w:start="-180" w:end="0"/>
              <w:jc w:val="end"/>
              <w:rPr>
                <w:sz w:val="16"/>
              </w:rPr>
            </w:pPr>
            <w:r>
              <w:rPr>
                <w:sz w:val="16"/>
              </w:rPr>
              <w:t>Date:</w:t>
            </w:r>
          </w:p>
        </w:tc>
        <w:tc>
          <w:tcPr>
            <w:tcW w:w="265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color w:val="000000"/>
        </w:rPr>
      </w:pPr>
      <w:r>
        <w:rPr>
          <w:color w:val="000000"/>
        </w:rPr>
      </w:r>
    </w:p>
    <w:p>
      <w:pPr>
        <w:pStyle w:val="Body"/>
        <w:rPr>
          <w:color w:val="000000"/>
        </w:rPr>
      </w:pPr>
      <w:r>
        <w:rPr>
          <w:color w:val="000000"/>
        </w:rPr>
      </w:r>
    </w:p>
    <w:p>
      <w:pPr>
        <w:pStyle w:val="Body"/>
        <w:numPr>
          <w:ilvl w:val="0"/>
          <w:numId w:val="3"/>
        </w:numPr>
        <w:rPr>
          <w:color w:val="000000"/>
          <w:sz w:val="24"/>
        </w:rPr>
      </w:pPr>
      <w:r>
        <w:rPr>
          <w:color w:val="000000"/>
          <w:sz w:val="24"/>
        </w:rPr>
        <w:t>Facts</w:t>
      </w:r>
    </w:p>
    <w:p>
      <w:pPr>
        <w:pStyle w:val="Body"/>
        <w:rPr>
          <w:color w:val="000000"/>
          <w:sz w:val="24"/>
        </w:rPr>
      </w:pPr>
      <w:r>
        <w:rPr>
          <w:color w:val="000000"/>
          <w:sz w:val="24"/>
        </w:rPr>
      </w:r>
    </w:p>
    <w:p>
      <w:pPr>
        <w:pStyle w:val="Body"/>
        <w:rPr>
          <w:color w:val="000000"/>
          <w:sz w:val="22"/>
        </w:rPr>
      </w:pPr>
      <w:r>
        <w:rPr>
          <w:color w:val="000000"/>
          <w:sz w:val="22"/>
        </w:rPr>
        <w:t>1.1 Global Markets</w:t>
      </w:r>
    </w:p>
    <w:p>
      <w:pPr>
        <w:pStyle w:val="Body"/>
        <w:rPr>
          <w:color w:val="000000"/>
        </w:rPr>
      </w:pPr>
      <w:r>
        <w:rPr>
          <w:color w:val="000000"/>
        </w:rPr>
        <w:t>Enron North America Corp (“ENA”) commenced the trading of agricultural products as a proprietary book during [2000]. This trading activity is conducted out of the Houston office. ENA also commenced analysis of the Softs markets (“coffee, cocoa, sugar”) with a view to expanding the trading activity into these commodity markets. In terms of business management this activity is conducted in the Global Markets business group.</w:t>
      </w:r>
    </w:p>
    <w:p>
      <w:pPr>
        <w:pStyle w:val="Body"/>
        <w:rPr>
          <w:color w:val="000000"/>
        </w:rPr>
      </w:pPr>
      <w:r>
        <w:rPr>
          <w:color w:val="000000"/>
        </w:rPr>
      </w:r>
    </w:p>
    <w:p>
      <w:pPr>
        <w:pStyle w:val="Body"/>
        <w:rPr>
          <w:color w:val="000000"/>
          <w:sz w:val="22"/>
        </w:rPr>
      </w:pPr>
      <w:r>
        <w:rPr>
          <w:color w:val="000000"/>
          <w:sz w:val="22"/>
        </w:rPr>
        <w:t>1.2 Enron Europe</w:t>
      </w:r>
    </w:p>
    <w:p>
      <w:pPr>
        <w:pStyle w:val="Body"/>
        <w:rPr>
          <w:color w:val="000000"/>
        </w:rPr>
      </w:pPr>
      <w:r>
        <w:rPr>
          <w:color w:val="000000"/>
        </w:rPr>
        <w:t xml:space="preserve">On 17 July 2000, Enron Investments Limited (“formerly Enron Investments plc”) acquired MG plc (“together with its affiliates the Enron Metals group”). Enron Investments Limited is a UK incorporated company, 100% owned by Enron Europe Limited, and treated as a corporation for US tax purposes. The Enron Metals group is an international marketer of physical and financial non-ferrous metals. </w:t>
      </w:r>
    </w:p>
    <w:p>
      <w:pPr>
        <w:pStyle w:val="Body"/>
        <w:rPr>
          <w:color w:val="000000"/>
        </w:rPr>
      </w:pPr>
      <w:r>
        <w:rPr>
          <w:color w:val="000000"/>
        </w:rPr>
      </w:r>
    </w:p>
    <w:p>
      <w:pPr>
        <w:pStyle w:val="Body"/>
        <w:rPr/>
      </w:pPr>
      <w:r>
        <w:rPr>
          <w:color w:val="000000"/>
        </w:rPr>
        <w:t>On acquisition the Enron Metals group also had $[200]m of cocoa inventories stored in Henry Bath</w:t>
      </w:r>
      <w:r>
        <w:rPr>
          <w:rStyle w:val="FootnoteCharacters"/>
          <w:rStyle w:val="FootnoteReference"/>
          <w:color w:val="000000"/>
        </w:rPr>
        <w:footnoteReference w:id="2"/>
      </w:r>
      <w:r>
        <w:rPr>
          <w:color w:val="000000"/>
        </w:rPr>
        <w:t xml:space="preserve"> warehouses. The cocoa inventories are owned by Enron Metals Limited, a UK incorporated company which is regulated in the UK by the [Securities and Futures Association]. These cocoa inventories were taken off balance sheet in December 2000 through a structured transaction (“Project Chocolate”).</w:t>
      </w:r>
    </w:p>
    <w:p>
      <w:pPr>
        <w:pStyle w:val="Body"/>
        <w:rPr>
          <w:color w:val="000000"/>
        </w:rPr>
      </w:pPr>
      <w:r>
        <w:rPr>
          <w:color w:val="000000"/>
        </w:rPr>
      </w:r>
    </w:p>
    <w:p>
      <w:pPr>
        <w:pStyle w:val="Body"/>
        <w:rPr>
          <w:color w:val="000000"/>
        </w:rPr>
      </w:pPr>
      <w:r>
        <w:rPr>
          <w:color w:val="000000"/>
        </w:rPr>
        <w:t>On [30 June] 2000, immediately prior to its acquisition by Enron, the Enron Metals group acquired certain assets of the Rudolf Wolff group in the United Kingdom, the United States and Germany (“Project Romulus”). The assets acquired included a Softs brokerage business employing [5] persons in London. The activity of the Softs brokerage business results in gross income pa of approximately $4m, comprising $3m generated from brokerage commissions and $1m generated from financing transactions. The Softs brokerage activity is a regulated business and is thus transacted by Enron Metals Limited. The structure for the financing business is currently under review.</w:t>
      </w:r>
    </w:p>
    <w:p>
      <w:pPr>
        <w:pStyle w:val="Body"/>
        <w:rPr>
          <w:color w:val="000000"/>
        </w:rPr>
      </w:pPr>
      <w:r>
        <w:rPr>
          <w:color w:val="000000"/>
        </w:rPr>
      </w:r>
    </w:p>
    <w:p>
      <w:pPr>
        <w:pStyle w:val="Body"/>
        <w:rPr>
          <w:color w:val="000000"/>
        </w:rPr>
      </w:pPr>
      <w:r>
        <w:rPr>
          <w:color w:val="000000"/>
        </w:rPr>
        <w:t xml:space="preserve">In terms of business management the Enron Metals Limited activities, comprising the ownership and storage of cocoa inventories and the Softs brokerage and financing, are conducted by the Enron Europe business group. </w:t>
      </w:r>
    </w:p>
    <w:p>
      <w:pPr>
        <w:pStyle w:val="Body"/>
        <w:rPr>
          <w:color w:val="000000"/>
        </w:rPr>
      </w:pPr>
      <w:r>
        <w:rPr>
          <w:color w:val="000000"/>
        </w:rPr>
      </w:r>
    </w:p>
    <w:p>
      <w:pPr>
        <w:pStyle w:val="Body"/>
        <w:rPr>
          <w:color w:val="000000"/>
          <w:sz w:val="22"/>
        </w:rPr>
      </w:pPr>
      <w:r>
        <w:rPr>
          <w:color w:val="000000"/>
          <w:sz w:val="22"/>
        </w:rPr>
        <w:t>1.3 Enron Softs</w:t>
      </w:r>
    </w:p>
    <w:p>
      <w:pPr>
        <w:pStyle w:val="Body"/>
        <w:rPr>
          <w:color w:val="000000"/>
        </w:rPr>
      </w:pPr>
      <w:r>
        <w:rPr>
          <w:color w:val="000000"/>
        </w:rPr>
        <w:t>A coordinated Enron business approach to the Softs markets is ensured through the collaborative management of the overall Softs businesses by the Global Markets and Enron Europe business groups.</w:t>
      </w:r>
    </w:p>
    <w:p>
      <w:pPr>
        <w:pStyle w:val="Body"/>
        <w:rPr>
          <w:color w:val="000000"/>
        </w:rPr>
      </w:pPr>
      <w:r>
        <w:rPr>
          <w:color w:val="000000"/>
        </w:rPr>
      </w:r>
    </w:p>
    <w:p>
      <w:pPr>
        <w:pStyle w:val="Body"/>
        <w:rPr>
          <w:color w:val="000000"/>
        </w:rPr>
      </w:pPr>
      <w:r>
        <w:rPr>
          <w:color w:val="000000"/>
        </w:rPr>
        <w:t>The focus of this memorandum is the appropriate structure for the new Softs proprietary and OTC businesses which will be developed primarily by the Global Markets business group. However, this memorandum also addresses the total Softs activities to the extent they are relevant.</w:t>
      </w:r>
    </w:p>
    <w:p>
      <w:pPr>
        <w:pStyle w:val="Body"/>
        <w:rPr>
          <w:color w:val="000000"/>
        </w:rPr>
      </w:pPr>
      <w:r>
        <w:rPr>
          <w:color w:val="000000"/>
        </w:rPr>
      </w:r>
    </w:p>
    <w:p>
      <w:pPr>
        <w:pStyle w:val="Body"/>
        <w:rPr>
          <w:color w:val="000000"/>
        </w:rPr>
      </w:pPr>
      <w:r>
        <w:rPr>
          <w:color w:val="000000"/>
        </w:rPr>
      </w:r>
    </w:p>
    <w:p>
      <w:pPr>
        <w:pStyle w:val="Body"/>
        <w:numPr>
          <w:ilvl w:val="0"/>
          <w:numId w:val="3"/>
        </w:numPr>
        <w:rPr>
          <w:color w:val="000000"/>
          <w:sz w:val="24"/>
        </w:rPr>
      </w:pPr>
      <w:r>
        <w:rPr>
          <w:color w:val="000000"/>
          <w:sz w:val="24"/>
        </w:rPr>
        <w:t>Proposed proprietary and OTC trading activity</w:t>
      </w:r>
    </w:p>
    <w:p>
      <w:pPr>
        <w:pStyle w:val="Body"/>
        <w:rPr>
          <w:color w:val="000000"/>
          <w:sz w:val="24"/>
        </w:rPr>
      </w:pPr>
      <w:r>
        <w:rPr>
          <w:color w:val="000000"/>
          <w:sz w:val="24"/>
        </w:rPr>
      </w:r>
    </w:p>
    <w:p>
      <w:pPr>
        <w:pStyle w:val="Body"/>
        <w:rPr>
          <w:color w:val="000000"/>
        </w:rPr>
      </w:pPr>
      <w:r>
        <w:rPr>
          <w:color w:val="000000"/>
        </w:rPr>
        <w:t>2.1 Overview</w:t>
      </w:r>
    </w:p>
    <w:p>
      <w:pPr>
        <w:pStyle w:val="Body"/>
        <w:rPr>
          <w:color w:val="000000"/>
        </w:rPr>
      </w:pPr>
      <w:r>
        <w:rPr>
          <w:color w:val="000000"/>
        </w:rPr>
        <w:t xml:space="preserve">The existing proprietary agricultural products activity will continue to be conducted by ENA out of Houston. </w:t>
      </w:r>
    </w:p>
    <w:p>
      <w:pPr>
        <w:pStyle w:val="Body"/>
        <w:rPr>
          <w:color w:val="000000"/>
        </w:rPr>
      </w:pPr>
      <w:r>
        <w:rPr>
          <w:color w:val="000000"/>
        </w:rPr>
      </w:r>
    </w:p>
    <w:p>
      <w:pPr>
        <w:pStyle w:val="Body"/>
        <w:rPr>
          <w:color w:val="000000"/>
        </w:rPr>
      </w:pPr>
      <w:r>
        <w:rPr>
          <w:color w:val="000000"/>
        </w:rPr>
        <w:t>New proprietary and OTC activity will be established in New York and London and will focus on Sugar, Coffee and Cocoa. There will be traders located in New York and also in London. Back office support services will be located in Houston [and in London].</w:t>
      </w:r>
    </w:p>
    <w:p>
      <w:pPr>
        <w:pStyle w:val="Body"/>
        <w:rPr>
          <w:color w:val="000000"/>
        </w:rPr>
      </w:pPr>
      <w:r>
        <w:rPr>
          <w:color w:val="000000"/>
        </w:rPr>
      </w:r>
    </w:p>
    <w:p>
      <w:pPr>
        <w:pStyle w:val="Body"/>
        <w:rPr>
          <w:color w:val="000000"/>
        </w:rPr>
      </w:pPr>
      <w:r>
        <w:rPr>
          <w:color w:val="000000"/>
        </w:rPr>
        <w:t>The new business will be launched initially through EnronOnline. Each product type offered on EnronOnline is offered by a specific legal entity. A prospective counterparty is first of all required to register to use EnronOnline. The registration process is conducted by the relevant Product Control Group in London or Houston (determined by reference to the jurisdiction of the counterparty) and involves a series of pre-approval checks, the signing of an Electronic Trading Agreement, and the issuance of a password. When transacting in a particular product for the first time the counterparty is required to accept the Enron General Terms &amp; Conditions posted on EnronOnline. Buy and sell prices for each product type are offered on EnronOnline so that the particular Enron entity is in fact holding itself out as a willing party to either side of the transaction in the market so long as certain conditions are met. Management of the product prices and positions offered on EnronOnline will be effected through the Price Stack Manager application to which the relevant trader has access. Trader access to this application is controlled by way of login ID and password.</w:t>
      </w:r>
    </w:p>
    <w:p>
      <w:pPr>
        <w:pStyle w:val="Body"/>
        <w:ind w:start="0" w:end="0"/>
        <w:rPr>
          <w:color w:val="000000"/>
        </w:rPr>
      </w:pPr>
      <w:r>
        <w:rPr>
          <w:color w:val="000000"/>
        </w:rPr>
      </w:r>
    </w:p>
    <w:p>
      <w:pPr>
        <w:pStyle w:val="Body"/>
        <w:rPr/>
      </w:pPr>
      <w:r>
        <w:rPr>
          <w:color w:val="000000"/>
        </w:rPr>
        <w:t>The traders located in New York will be responsible for managing a product portfolio comprising I) financially settled NYBOT</w:t>
      </w:r>
      <w:r>
        <w:rPr>
          <w:rStyle w:val="FootnoteCharacters"/>
          <w:rStyle w:val="FootnoteReference"/>
          <w:color w:val="000000"/>
        </w:rPr>
        <w:footnoteReference w:id="3"/>
      </w:r>
      <w:r>
        <w:rPr>
          <w:color w:val="000000"/>
        </w:rPr>
        <w:t xml:space="preserve"> look-alike contracts in Sugar, Coffee and Cocoa, 2) financially settled NYBOT/LIFFE</w:t>
      </w:r>
      <w:r>
        <w:rPr>
          <w:rStyle w:val="FootnoteCharacters"/>
          <w:rStyle w:val="FootnoteReference"/>
          <w:color w:val="000000"/>
        </w:rPr>
        <w:footnoteReference w:id="4"/>
      </w:r>
      <w:r>
        <w:rPr>
          <w:color w:val="000000"/>
        </w:rPr>
        <w:t xml:space="preserve"> spread products in Sugar, Coffee and Cocoa. The spread products will only be offered during NYBOT opening hours so that any difficulties in laying off positions during illiquid hours towards the end of, or outside of, market hours are minimised. The traders located in London will be responsible for managing a product portfolio comprising financially settled LIFFE look-alike contracts in Sugar, Coffee and Cocoa. </w:t>
      </w:r>
    </w:p>
    <w:p>
      <w:pPr>
        <w:pStyle w:val="Body"/>
        <w:rPr>
          <w:color w:val="000000"/>
        </w:rPr>
      </w:pPr>
      <w:r>
        <w:rPr>
          <w:color w:val="000000"/>
        </w:rPr>
      </w:r>
    </w:p>
    <w:p>
      <w:pPr>
        <w:pStyle w:val="Body"/>
        <w:rPr>
          <w:color w:val="000000"/>
        </w:rPr>
      </w:pPr>
      <w:r>
        <w:rPr>
          <w:color w:val="000000"/>
        </w:rPr>
        <w:t>The expectation is that European counterparties will most likely be interested in trading the LIFFE look-alike contracts, whilst US counterparties will most likely be interested in trading the NYBOT look-alike. [which counterparties are most likely to be interested in the spread products ?].</w:t>
      </w:r>
    </w:p>
    <w:p>
      <w:pPr>
        <w:pStyle w:val="Body"/>
        <w:rPr>
          <w:color w:val="000000"/>
        </w:rPr>
      </w:pPr>
      <w:r>
        <w:rPr>
          <w:color w:val="000000"/>
        </w:rPr>
      </w:r>
    </w:p>
    <w:p>
      <w:pPr>
        <w:pStyle w:val="Body"/>
        <w:rPr>
          <w:color w:val="000000"/>
        </w:rPr>
      </w:pPr>
      <w:r>
        <w:rPr>
          <w:color w:val="000000"/>
        </w:rPr>
        <w:t>2.2 European activity</w:t>
      </w:r>
    </w:p>
    <w:p>
      <w:pPr>
        <w:pStyle w:val="Body"/>
        <w:rPr/>
      </w:pPr>
      <w:r>
        <w:rPr>
          <w:color w:val="000000"/>
        </w:rPr>
        <w:t>The LIFFE look-alike contracts offered by the London based traders are subject to regulation in the UK. If a UK incorporated entity entered into these transactions, the entity would need to be regulated and would be required to provide regulatory capital. However, it is possible to minimise the amount of regulatory capital required by entering into the transactions in the name of a non-EU incorporated entity, having no place of business</w:t>
      </w:r>
      <w:r>
        <w:rPr>
          <w:rStyle w:val="FootnoteCharacters"/>
          <w:rStyle w:val="FootnoteReference"/>
          <w:color w:val="000000"/>
        </w:rPr>
        <w:footnoteReference w:id="5"/>
      </w:r>
      <w:r>
        <w:rPr>
          <w:color w:val="000000"/>
        </w:rPr>
        <w:t xml:space="preserve"> in the UK, so long as the transactions are arranged by a UK regulated entity. The UK regulated entity, Enron Europe Finance &amp; Trading Limited (“EEFT”), must provide regulatory capital but only in its capacity as arranger of the transaction and not in respect of the risk positions assumed by the principal to the transaction. </w:t>
      </w:r>
    </w:p>
    <w:p>
      <w:pPr>
        <w:pStyle w:val="Body"/>
        <w:rPr>
          <w:color w:val="000000"/>
        </w:rPr>
      </w:pPr>
      <w:r>
        <w:rPr>
          <w:color w:val="000000"/>
        </w:rPr>
      </w:r>
    </w:p>
    <w:p>
      <w:pPr>
        <w:pStyle w:val="Body"/>
        <w:rPr/>
      </w:pPr>
      <w:r>
        <w:rPr>
          <w:color w:val="000000"/>
        </w:rPr>
        <w:t>Since the non-EU incorporated entity must have no place of business in the UK, all of the London based traders will in fact be acting for EEFT in connection with EEFT’s agency activity when undertaking their transactions. The costs of the London based traders in respect of the financial Softs business must therefore be charged by Enron Power Operations Limited (“EPOL”)</w:t>
      </w:r>
      <w:r>
        <w:rPr>
          <w:rStyle w:val="FootnoteCharacters"/>
          <w:rStyle w:val="FootnoteReference"/>
          <w:color w:val="000000"/>
        </w:rPr>
        <w:footnoteReference w:id="6"/>
      </w:r>
      <w:r>
        <w:rPr>
          <w:color w:val="000000"/>
        </w:rPr>
        <w:t xml:space="preserve"> to EEFT. In turn, EEFT is compensated for the services it provides to the non-EU incorporated principal by charging a commission fee. The commission fee must be at arm’s length, meaning that it should equate to the fee that an unrelated party would be prepared to pay in consideration for receiving the same services. Internally an accounting division of EEFT will need to be established in order for the costs and commission fees to roll up into Enron Softs for management accounting purposes.</w:t>
      </w:r>
    </w:p>
    <w:p>
      <w:pPr>
        <w:pStyle w:val="Body"/>
        <w:rPr>
          <w:color w:val="000000"/>
        </w:rPr>
      </w:pPr>
      <w:r>
        <w:rPr>
          <w:color w:val="000000"/>
        </w:rPr>
      </w:r>
    </w:p>
    <w:p>
      <w:pPr>
        <w:pStyle w:val="Body"/>
        <w:numPr>
          <w:ilvl w:val="1"/>
          <w:numId w:val="3"/>
        </w:numPr>
        <w:rPr>
          <w:color w:val="000000"/>
        </w:rPr>
      </w:pPr>
      <w:r>
        <w:rPr>
          <w:color w:val="000000"/>
        </w:rPr>
        <w:t>Choice of non-EU incorporated entity</w:t>
      </w:r>
    </w:p>
    <w:p>
      <w:pPr>
        <w:pStyle w:val="Body"/>
        <w:rPr>
          <w:color w:val="000000"/>
        </w:rPr>
      </w:pPr>
      <w:r>
        <w:rPr>
          <w:color w:val="000000"/>
        </w:rPr>
      </w:r>
    </w:p>
    <w:p>
      <w:pPr>
        <w:pStyle w:val="Body"/>
        <w:rPr>
          <w:color w:val="000000"/>
        </w:rPr>
      </w:pPr>
      <w:r>
        <w:rPr>
          <w:color w:val="000000"/>
        </w:rPr>
        <w:t>[ note – final transaction memo will reflect only the structure which is implemented, and will not include a discussion of the alternatives set out below]</w:t>
      </w:r>
    </w:p>
    <w:p>
      <w:pPr>
        <w:pStyle w:val="Body"/>
        <w:rPr>
          <w:color w:val="000000"/>
        </w:rPr>
      </w:pPr>
      <w:r>
        <w:rPr>
          <w:color w:val="000000"/>
        </w:rPr>
      </w:r>
    </w:p>
    <w:p>
      <w:pPr>
        <w:pStyle w:val="Body"/>
        <w:numPr>
          <w:ilvl w:val="0"/>
          <w:numId w:val="4"/>
        </w:numPr>
        <w:rPr>
          <w:color w:val="000000"/>
        </w:rPr>
      </w:pPr>
      <w:r>
        <w:rPr>
          <w:rFonts w:eastAsia="Arial"/>
          <w:color w:val="000000"/>
        </w:rPr>
        <w:t xml:space="preserve"> </w:t>
      </w:r>
      <w:r>
        <w:rPr>
          <w:color w:val="000000"/>
        </w:rPr>
        <w:tab/>
        <w:t>ENA</w:t>
      </w:r>
    </w:p>
    <w:p>
      <w:pPr>
        <w:pStyle w:val="Body"/>
        <w:rPr>
          <w:color w:val="000000"/>
        </w:rPr>
      </w:pPr>
      <w:r>
        <w:rPr>
          <w:color w:val="000000"/>
        </w:rPr>
        <w:t xml:space="preserve">ENA, acting through EEFT as arranger, could enter into the proprietary and OTC financial transactions. </w:t>
      </w:r>
    </w:p>
    <w:p>
      <w:pPr>
        <w:pStyle w:val="Body"/>
        <w:rPr>
          <w:color w:val="000000"/>
        </w:rPr>
      </w:pPr>
      <w:r>
        <w:rPr>
          <w:color w:val="000000"/>
        </w:rPr>
      </w:r>
    </w:p>
    <w:p>
      <w:pPr>
        <w:pStyle w:val="Body"/>
        <w:rPr>
          <w:color w:val="000000"/>
        </w:rPr>
      </w:pPr>
      <w:r>
        <w:rPr>
          <w:color w:val="000000"/>
        </w:rPr>
        <w:t>The benefits of using ENA include:</w:t>
      </w:r>
    </w:p>
    <w:p>
      <w:pPr>
        <w:pStyle w:val="Body"/>
        <w:numPr>
          <w:ilvl w:val="0"/>
          <w:numId w:val="2"/>
        </w:numPr>
        <w:rPr>
          <w:color w:val="000000"/>
        </w:rPr>
      </w:pPr>
      <w:r>
        <w:rPr>
          <w:color w:val="000000"/>
        </w:rPr>
        <w:t>Credit netting where applicable</w:t>
      </w:r>
      <w:r>
        <w:rPr>
          <w:rStyle w:val="FootnoteCharacters"/>
          <w:rStyle w:val="FootnoteReference"/>
          <w:color w:val="000000"/>
        </w:rPr>
        <w:footnoteReference w:id="7"/>
      </w:r>
    </w:p>
    <w:p>
      <w:pPr>
        <w:pStyle w:val="Body"/>
        <w:numPr>
          <w:ilvl w:val="0"/>
          <w:numId w:val="2"/>
        </w:numPr>
        <w:rPr>
          <w:color w:val="000000"/>
        </w:rPr>
      </w:pPr>
      <w:r>
        <w:rPr>
          <w:color w:val="000000"/>
        </w:rPr>
        <w:t>The ability to use ISDAs entered into by ENA</w:t>
      </w:r>
    </w:p>
    <w:p>
      <w:pPr>
        <w:pStyle w:val="Body"/>
        <w:numPr>
          <w:ilvl w:val="0"/>
          <w:numId w:val="2"/>
        </w:numPr>
        <w:rPr>
          <w:color w:val="000000"/>
        </w:rPr>
      </w:pPr>
      <w:r>
        <w:rPr>
          <w:color w:val="000000"/>
        </w:rPr>
        <w:t>Consolidation of backoffice [consider the extent to which some services may need to be provided from London due to time considerations]</w:t>
      </w:r>
    </w:p>
    <w:p>
      <w:pPr>
        <w:pStyle w:val="Body"/>
        <w:numPr>
          <w:ilvl w:val="0"/>
          <w:numId w:val="2"/>
        </w:numPr>
        <w:rPr>
          <w:color w:val="000000"/>
        </w:rPr>
      </w:pPr>
      <w:r>
        <w:rPr>
          <w:color w:val="000000"/>
        </w:rPr>
        <w:t>Less customer confusion as there is a single Enron principal to the transactions</w:t>
      </w:r>
    </w:p>
    <w:p>
      <w:pPr>
        <w:pStyle w:val="Body"/>
        <w:rPr>
          <w:color w:val="000000"/>
        </w:rPr>
      </w:pPr>
      <w:r>
        <w:rPr>
          <w:color w:val="000000"/>
        </w:rPr>
      </w:r>
    </w:p>
    <w:p>
      <w:pPr>
        <w:pStyle w:val="Body"/>
        <w:rPr>
          <w:color w:val="000000"/>
        </w:rPr>
      </w:pPr>
      <w:r>
        <w:rPr>
          <w:color w:val="000000"/>
        </w:rPr>
        <w:t>The disbenefits include:</w:t>
      </w:r>
    </w:p>
    <w:p>
      <w:pPr>
        <w:pStyle w:val="Body"/>
        <w:numPr>
          <w:ilvl w:val="0"/>
          <w:numId w:val="7"/>
        </w:numPr>
        <w:rPr>
          <w:color w:val="000000"/>
        </w:rPr>
      </w:pPr>
      <w:r>
        <w:rPr>
          <w:color w:val="000000"/>
        </w:rPr>
        <w:t>The risk of creating a UK tax presence for ENA</w:t>
      </w:r>
    </w:p>
    <w:p>
      <w:pPr>
        <w:pStyle w:val="Body"/>
        <w:numPr>
          <w:ilvl w:val="0"/>
          <w:numId w:val="7"/>
        </w:numPr>
        <w:rPr>
          <w:color w:val="000000"/>
        </w:rPr>
      </w:pPr>
      <w:r>
        <w:rPr>
          <w:color w:val="000000"/>
        </w:rPr>
        <w:t xml:space="preserve">The UK tax risk can be mitigated by putting in place procedures (which reflect what actually takes place in practice i.e. it is ineffective simply to paper what does not actually take place) limiting the extent to which trading decisions and strategies can be decided by EEFT in the UK. However, since the regulatory capital structure requires EEFT to be able to bind ENA to a transaction (and the ability to bind ENA is a determinative factor in the UK tax analysis) the limitation of EEFT’s authority may achieve at best a minimisation of the income subject to UK taxes. </w:t>
      </w:r>
    </w:p>
    <w:p>
      <w:pPr>
        <w:pStyle w:val="Body"/>
        <w:numPr>
          <w:ilvl w:val="0"/>
          <w:numId w:val="7"/>
        </w:numPr>
        <w:rPr>
          <w:color w:val="000000"/>
        </w:rPr>
      </w:pPr>
      <w:r>
        <w:rPr>
          <w:color w:val="000000"/>
        </w:rPr>
        <w:t>Using ENA as principal has the potential to expose more income to UK tax, since ENA comprises other profitable businesses in addition to the proposed Softs activity. If ENA acts as principal, we would be relying on the UK/US Tax Treaty to limit the amount of ENA’s income which is subject to UK tax. This introduces an additional tax exposure over and above that which would exist for a US incorporated entity conducting only Softs business.</w:t>
      </w:r>
    </w:p>
    <w:p>
      <w:pPr>
        <w:pStyle w:val="Body"/>
        <w:numPr>
          <w:ilvl w:val="0"/>
          <w:numId w:val="7"/>
        </w:numPr>
        <w:rPr>
          <w:color w:val="000000"/>
        </w:rPr>
      </w:pPr>
      <w:r>
        <w:rPr>
          <w:color w:val="000000"/>
        </w:rPr>
        <w:t>Additional bank accounts to be set up for ENA in £ and Euro [assume that ENA does not already operate £ and Euro bank accounts]</w:t>
      </w:r>
    </w:p>
    <w:p>
      <w:pPr>
        <w:pStyle w:val="Body"/>
        <w:numPr>
          <w:ilvl w:val="0"/>
          <w:numId w:val="7"/>
        </w:numPr>
        <w:rPr>
          <w:color w:val="000000"/>
        </w:rPr>
      </w:pPr>
      <w:r>
        <w:rPr>
          <w:color w:val="000000"/>
        </w:rPr>
        <w:t>For CFTC purposes, ENA must have a minimum capital of $10m [assume this requirement is met]</w:t>
      </w:r>
    </w:p>
    <w:p>
      <w:pPr>
        <w:pStyle w:val="Body"/>
        <w:rPr>
          <w:color w:val="000000"/>
        </w:rPr>
      </w:pPr>
      <w:r>
        <w:rPr>
          <w:color w:val="000000"/>
        </w:rPr>
      </w:r>
    </w:p>
    <w:p>
      <w:pPr>
        <w:pStyle w:val="Body"/>
        <w:rPr>
          <w:color w:val="000000"/>
        </w:rPr>
      </w:pPr>
      <w:r>
        <w:rPr>
          <w:color w:val="000000"/>
        </w:rPr>
      </w:r>
    </w:p>
    <w:p>
      <w:pPr>
        <w:pStyle w:val="Body"/>
        <w:numPr>
          <w:ilvl w:val="0"/>
          <w:numId w:val="4"/>
        </w:numPr>
        <w:rPr>
          <w:color w:val="000000"/>
        </w:rPr>
      </w:pPr>
      <w:r>
        <w:rPr>
          <w:color w:val="000000"/>
        </w:rPr>
        <w:t>Enron Softs Inc</w:t>
      </w:r>
    </w:p>
    <w:p>
      <w:pPr>
        <w:pStyle w:val="Body"/>
        <w:rPr>
          <w:color w:val="000000"/>
        </w:rPr>
      </w:pPr>
      <w:r>
        <w:rPr>
          <w:color w:val="000000"/>
        </w:rPr>
      </w:r>
    </w:p>
    <w:p>
      <w:pPr>
        <w:pStyle w:val="Body"/>
        <w:rPr>
          <w:color w:val="000000"/>
        </w:rPr>
      </w:pPr>
      <w:r>
        <w:rPr>
          <w:color w:val="000000"/>
        </w:rPr>
        <w:t>Enron Softs Inc would be formed as a 100% subsidiary of ENA. The benefits and disbenefits of this entity are as set out for ENA above, except that:</w:t>
      </w:r>
    </w:p>
    <w:p>
      <w:pPr>
        <w:pStyle w:val="Body"/>
        <w:numPr>
          <w:ilvl w:val="0"/>
          <w:numId w:val="5"/>
        </w:numPr>
        <w:rPr>
          <w:color w:val="000000"/>
        </w:rPr>
      </w:pPr>
      <w:r>
        <w:rPr>
          <w:color w:val="000000"/>
        </w:rPr>
        <w:t xml:space="preserve">Benefit - The amount of income exposed to taxation in the UK as well as the US is effectively ring-fenced to the income earned in connection with the Softs business </w:t>
      </w:r>
    </w:p>
    <w:p>
      <w:pPr>
        <w:pStyle w:val="Body"/>
        <w:numPr>
          <w:ilvl w:val="0"/>
          <w:numId w:val="5"/>
        </w:numPr>
        <w:rPr>
          <w:color w:val="000000"/>
        </w:rPr>
      </w:pPr>
      <w:r>
        <w:rPr>
          <w:color w:val="000000"/>
        </w:rPr>
        <w:t>Disbenefit – ISDAs would need to be signed with Softs customers, and no advantage could be taken of ENA’s existing ISDAs except in the case where master netting arrangements have been put in place. This would only be a significant disbenefit if there is a great deal of overlap between ENA’s customer base and the Softs customer base.</w:t>
      </w:r>
    </w:p>
    <w:p>
      <w:pPr>
        <w:pStyle w:val="Body"/>
        <w:numPr>
          <w:ilvl w:val="0"/>
          <w:numId w:val="5"/>
        </w:numPr>
        <w:rPr>
          <w:color w:val="000000"/>
        </w:rPr>
      </w:pPr>
      <w:r>
        <w:rPr>
          <w:color w:val="000000"/>
        </w:rPr>
        <w:t>Disbenefit – Enron Softs Inc would need the minimum $10m capital required for CFTC purposes [however, I believe this can be provided by way of subordinated loan – Legal to confirm].</w:t>
      </w:r>
    </w:p>
    <w:p>
      <w:pPr>
        <w:pStyle w:val="Body"/>
        <w:rPr>
          <w:color w:val="000000"/>
        </w:rPr>
      </w:pPr>
      <w:r>
        <w:rPr>
          <w:color w:val="000000"/>
        </w:rPr>
      </w:r>
    </w:p>
    <w:p>
      <w:pPr>
        <w:pStyle w:val="Body"/>
        <w:numPr>
          <w:ilvl w:val="0"/>
          <w:numId w:val="6"/>
        </w:numPr>
        <w:rPr>
          <w:color w:val="000000"/>
        </w:rPr>
      </w:pPr>
      <w:r>
        <w:rPr>
          <w:rFonts w:eastAsia="Arial"/>
          <w:color w:val="000000"/>
        </w:rPr>
        <w:t xml:space="preserve"> </w:t>
      </w:r>
      <w:r>
        <w:rPr>
          <w:color w:val="000000"/>
        </w:rPr>
        <w:tab/>
        <w:t>Enron Europe Finance &amp; Trading LLC (“EFET LLC”)</w:t>
      </w:r>
    </w:p>
    <w:p>
      <w:pPr>
        <w:pStyle w:val="Body"/>
        <w:ind w:start="0" w:end="0"/>
        <w:rPr>
          <w:color w:val="000000"/>
        </w:rPr>
      </w:pPr>
      <w:r>
        <w:rPr>
          <w:color w:val="000000"/>
        </w:rPr>
      </w:r>
    </w:p>
    <w:p>
      <w:pPr>
        <w:pStyle w:val="Body"/>
        <w:ind w:start="0" w:end="0"/>
        <w:rPr>
          <w:color w:val="000000"/>
        </w:rPr>
      </w:pPr>
      <w:r>
        <w:rPr>
          <w:color w:val="000000"/>
        </w:rPr>
        <w:t>EFET LLC, acting through EEFT as arranger, would enter into the financial transactions executed out of London. ENA would enter into the financial transactions executed out of New York [Morris we should probably also consider what state tax planning we need to implement given the proposed increase in activity in New York].</w:t>
      </w:r>
    </w:p>
    <w:p>
      <w:pPr>
        <w:pStyle w:val="Body"/>
        <w:ind w:start="0" w:end="0"/>
        <w:rPr>
          <w:color w:val="000000"/>
        </w:rPr>
      </w:pPr>
      <w:r>
        <w:rPr>
          <w:color w:val="000000"/>
        </w:rPr>
      </w:r>
    </w:p>
    <w:p>
      <w:pPr>
        <w:pStyle w:val="Body"/>
        <w:ind w:start="0" w:end="0"/>
        <w:rPr>
          <w:color w:val="000000"/>
        </w:rPr>
      </w:pPr>
      <w:r>
        <w:rPr>
          <w:color w:val="000000"/>
        </w:rPr>
        <w:t xml:space="preserve">EFET LLC has been formed as a Delaware limited liability company, 100% owned by Enron Credit.com Limited. It is intended to shortly transfer the ownership of EFET LLC to EPOL. </w:t>
      </w:r>
    </w:p>
    <w:p>
      <w:pPr>
        <w:pStyle w:val="Body"/>
        <w:ind w:start="0" w:end="0"/>
        <w:rPr>
          <w:color w:val="000000"/>
        </w:rPr>
      </w:pPr>
      <w:r>
        <w:rPr>
          <w:color w:val="000000"/>
        </w:rPr>
      </w:r>
    </w:p>
    <w:p>
      <w:pPr>
        <w:pStyle w:val="Body"/>
        <w:ind w:start="0" w:end="0"/>
        <w:rPr/>
      </w:pPr>
      <w:r>
        <w:rPr>
          <w:color w:val="000000"/>
        </w:rPr>
        <w:t>EFET LLC is tax resident in the UK because it is managed and controlled in the UK</w:t>
      </w:r>
      <w:r>
        <w:rPr>
          <w:rStyle w:val="FootnoteCharacters"/>
          <w:rStyle w:val="FootnoteReference"/>
          <w:color w:val="000000"/>
        </w:rPr>
        <w:footnoteReference w:id="8"/>
      </w:r>
      <w:r>
        <w:rPr>
          <w:color w:val="000000"/>
        </w:rPr>
        <w:t>. Management and control of EFET LLC takes place through board meetings, which are held in the UK but not held regularly at one business location. EFET LLC does not have an office or direct employees in the UK. Thus although EFET LLC is UK tax resident, it is not treated as having a place of business in the UK for regulatory purposes.</w:t>
      </w:r>
    </w:p>
    <w:p>
      <w:pPr>
        <w:pStyle w:val="Body"/>
        <w:ind w:start="0" w:end="0"/>
        <w:rPr>
          <w:color w:val="000000"/>
        </w:rPr>
      </w:pPr>
      <w:r>
        <w:rPr>
          <w:color w:val="000000"/>
        </w:rPr>
      </w:r>
    </w:p>
    <w:p>
      <w:pPr>
        <w:pStyle w:val="Body"/>
        <w:ind w:start="0" w:end="0"/>
        <w:rPr>
          <w:color w:val="000000"/>
        </w:rPr>
      </w:pPr>
      <w:r>
        <w:rPr>
          <w:color w:val="000000"/>
        </w:rPr>
        <w:t>Since EFET LLC is not US tax resident the income earned by EFET LLC is not subject to US tax unless it is deemed distributed to the US pursuant to the provisions of subpart F of the Internal Revenue Code. In general terms the income earned by EFET LLC from the proprietary trading executed via EnronOnline (this will be the LIFFE look-alike products initially) and executed offline will not be subject to US tax under the provisions of subpart F because the EFET LLC will be earning the income in the course of its activity as a dealer in these products. Thus the income earned by EFET LLC will only be subject to tax in a single jurisdiction – the UK.</w:t>
      </w:r>
    </w:p>
    <w:p>
      <w:pPr>
        <w:pStyle w:val="Body"/>
        <w:ind w:start="0" w:end="0"/>
        <w:rPr>
          <w:color w:val="000000"/>
        </w:rPr>
      </w:pPr>
      <w:r>
        <w:rPr>
          <w:color w:val="000000"/>
        </w:rPr>
      </w:r>
    </w:p>
    <w:p>
      <w:pPr>
        <w:pStyle w:val="Body"/>
        <w:ind w:start="0" w:end="0"/>
        <w:rPr>
          <w:color w:val="000000"/>
        </w:rPr>
      </w:pPr>
      <w:r>
        <w:rPr>
          <w:color w:val="000000"/>
        </w:rPr>
        <w:t>As EFET LLC will also conduct other financial trading activity in Europe, an accounting division of EFET LLC will need to be established to ensure that the results of the Softs activity can roll up into the correct business unit for management reporting purposes.</w:t>
      </w:r>
    </w:p>
    <w:p>
      <w:pPr>
        <w:pStyle w:val="Body"/>
        <w:ind w:start="0" w:end="0"/>
        <w:rPr>
          <w:color w:val="000000"/>
        </w:rPr>
      </w:pPr>
      <w:r>
        <w:rPr>
          <w:color w:val="000000"/>
        </w:rPr>
      </w:r>
    </w:p>
    <w:p>
      <w:pPr>
        <w:pStyle w:val="Body"/>
        <w:rPr>
          <w:color w:val="000000"/>
        </w:rPr>
      </w:pPr>
      <w:r>
        <w:rPr>
          <w:color w:val="000000"/>
        </w:rPr>
        <w:t>The benefits of using EFET LLC include:</w:t>
      </w:r>
    </w:p>
    <w:p>
      <w:pPr>
        <w:pStyle w:val="Body"/>
        <w:numPr>
          <w:ilvl w:val="0"/>
          <w:numId w:val="2"/>
        </w:numPr>
        <w:rPr>
          <w:color w:val="000000"/>
        </w:rPr>
      </w:pPr>
      <w:r>
        <w:rPr>
          <w:color w:val="000000"/>
        </w:rPr>
        <w:t>Credit netting where applicable</w:t>
      </w:r>
      <w:r>
        <w:rPr>
          <w:rStyle w:val="FootnoteCharacters"/>
          <w:rStyle w:val="FootnoteReference"/>
          <w:color w:val="000000"/>
        </w:rPr>
        <w:footnoteReference w:id="9"/>
      </w:r>
      <w:r>
        <w:rPr>
          <w:color w:val="000000"/>
        </w:rPr>
        <w:t xml:space="preserve"> - the benefit will depend upon the extent to which there is overlap between the Softs customer base in Europe and the customer base in Europe for the other financial activity to be conducted by EFET LLC (eg European financial power, gas, pulp, coal)</w:t>
      </w:r>
    </w:p>
    <w:p>
      <w:pPr>
        <w:pStyle w:val="Body"/>
        <w:numPr>
          <w:ilvl w:val="0"/>
          <w:numId w:val="2"/>
        </w:numPr>
        <w:rPr>
          <w:color w:val="000000"/>
        </w:rPr>
      </w:pPr>
      <w:r>
        <w:rPr>
          <w:color w:val="000000"/>
        </w:rPr>
        <w:t>The ability to use ISDAs entered into by EFET LLC</w:t>
      </w:r>
    </w:p>
    <w:p>
      <w:pPr>
        <w:pStyle w:val="Body"/>
        <w:numPr>
          <w:ilvl w:val="0"/>
          <w:numId w:val="2"/>
        </w:numPr>
        <w:rPr>
          <w:color w:val="000000"/>
        </w:rPr>
      </w:pPr>
      <w:r>
        <w:rPr>
          <w:color w:val="000000"/>
        </w:rPr>
        <w:t>The elimination of double taxation of the income earned by EFET LLC (subject to meeting the exceptions to the subpart F rules).</w:t>
      </w:r>
    </w:p>
    <w:p>
      <w:pPr>
        <w:pStyle w:val="Body"/>
        <w:numPr>
          <w:ilvl w:val="0"/>
          <w:numId w:val="2"/>
        </w:numPr>
        <w:rPr>
          <w:color w:val="000000"/>
        </w:rPr>
      </w:pPr>
      <w:r>
        <w:rPr>
          <w:color w:val="000000"/>
        </w:rPr>
        <w:t>No additional bank accounts to be established for £ and Euro balances since EFET LLC will already have established these bank accounts in connection with its other financial trading activities.</w:t>
      </w:r>
    </w:p>
    <w:p>
      <w:pPr>
        <w:pStyle w:val="Body"/>
        <w:numPr>
          <w:ilvl w:val="0"/>
          <w:numId w:val="2"/>
        </w:numPr>
        <w:rPr>
          <w:color w:val="000000"/>
        </w:rPr>
      </w:pPr>
      <w:r>
        <w:rPr>
          <w:color w:val="000000"/>
        </w:rPr>
        <w:t>Minimum capital of $10m required for CFTC purposes will already be in place due to EFET LLC’s other financial trading activities.</w:t>
      </w:r>
    </w:p>
    <w:p>
      <w:pPr>
        <w:pStyle w:val="Body"/>
        <w:ind w:start="432" w:end="0"/>
        <w:rPr>
          <w:color w:val="000000"/>
        </w:rPr>
      </w:pPr>
      <w:r>
        <w:rPr>
          <w:color w:val="000000"/>
        </w:rPr>
      </w:r>
    </w:p>
    <w:p>
      <w:pPr>
        <w:pStyle w:val="Body"/>
        <w:rPr>
          <w:color w:val="000000"/>
        </w:rPr>
      </w:pPr>
      <w:r>
        <w:rPr>
          <w:color w:val="000000"/>
        </w:rPr>
        <w:t>The disbenefits include:</w:t>
      </w:r>
    </w:p>
    <w:p>
      <w:pPr>
        <w:pStyle w:val="Body"/>
        <w:numPr>
          <w:ilvl w:val="0"/>
          <w:numId w:val="7"/>
        </w:numPr>
        <w:rPr>
          <w:color w:val="000000"/>
        </w:rPr>
      </w:pPr>
      <w:r>
        <w:rPr>
          <w:color w:val="000000"/>
        </w:rPr>
        <w:t xml:space="preserve">No credit netting between ENA customers and EFET LLC customers (unless a master netting agreement is put in place – the feasibility of this should be explored since for US bankruptcy law purposes, both ENA and EFET LLC </w:t>
      </w:r>
      <w:r>
        <w:rPr>
          <w:i/>
          <w:iCs/>
          <w:color w:val="000000"/>
        </w:rPr>
        <w:t>may be</w:t>
      </w:r>
      <w:r>
        <w:rPr>
          <w:color w:val="000000"/>
        </w:rPr>
        <w:t xml:space="preserve"> regarded as US entities)</w:t>
      </w:r>
    </w:p>
    <w:p>
      <w:pPr>
        <w:pStyle w:val="Body"/>
        <w:numPr>
          <w:ilvl w:val="0"/>
          <w:numId w:val="7"/>
        </w:numPr>
        <w:rPr>
          <w:color w:val="000000"/>
        </w:rPr>
      </w:pPr>
      <w:r>
        <w:rPr>
          <w:color w:val="000000"/>
        </w:rPr>
        <w:t>Potential customer confusion [how big an issue is this ?]</w:t>
      </w:r>
    </w:p>
    <w:p>
      <w:pPr>
        <w:pStyle w:val="Body"/>
        <w:numPr>
          <w:ilvl w:val="0"/>
          <w:numId w:val="2"/>
        </w:numPr>
        <w:rPr>
          <w:color w:val="000000"/>
        </w:rPr>
      </w:pPr>
      <w:r>
        <w:rPr>
          <w:color w:val="000000"/>
        </w:rPr>
        <w:t>Backoffice functions in both Houston and London [how big an issue is this ? can the back office support be provided by the existing Global Markets team ? if time constraints are not an issue, there is nothing to prevent the back office services in respect of EFET LLC Softs transactions being subcontracted out to Houston provided that the services are the subject of a services agreement]</w:t>
      </w:r>
    </w:p>
    <w:p>
      <w:pPr>
        <w:pStyle w:val="Body"/>
        <w:ind w:start="432" w:end="0"/>
        <w:rPr>
          <w:color w:val="000000"/>
        </w:rPr>
      </w:pPr>
      <w:r>
        <w:rPr>
          <w:color w:val="000000"/>
        </w:rPr>
      </w:r>
    </w:p>
    <w:p>
      <w:pPr>
        <w:pStyle w:val="Body"/>
        <w:rPr>
          <w:color w:val="000000"/>
        </w:rPr>
      </w:pPr>
      <w:r>
        <w:rPr>
          <w:color w:val="000000"/>
        </w:rPr>
      </w:r>
    </w:p>
    <w:p>
      <w:pPr>
        <w:pStyle w:val="Body"/>
        <w:rPr>
          <w:color w:val="000000"/>
        </w:rPr>
      </w:pPr>
      <w:r>
        <w:rPr>
          <w:color w:val="000000"/>
        </w:rPr>
      </w:r>
    </w:p>
    <w:p>
      <w:pPr>
        <w:pStyle w:val="Body"/>
        <w:rPr>
          <w:color w:val="000000"/>
        </w:rPr>
      </w:pPr>
      <w:r>
        <w:rPr>
          <w:color w:val="000000"/>
        </w:rPr>
      </w:r>
    </w:p>
    <w:p>
      <w:pPr>
        <w:pStyle w:val="Body"/>
        <w:ind w:start="0" w:end="0"/>
        <w:rPr>
          <w:color w:val="000000"/>
        </w:rPr>
      </w:pPr>
      <w:r>
        <w:rPr>
          <w:color w:val="000000"/>
        </w:rPr>
      </w:r>
    </w:p>
    <w:p>
      <w:pPr>
        <w:pStyle w:val="Body"/>
        <w:ind w:start="0" w:end="0"/>
        <w:rPr>
          <w:color w:val="000000"/>
        </w:rPr>
      </w:pPr>
      <w:r>
        <w:rPr>
          <w:color w:val="000000"/>
        </w:rPr>
      </w:r>
    </w:p>
    <w:p>
      <w:pPr>
        <w:pStyle w:val="Body"/>
        <w:ind w:start="0" w:end="0"/>
        <w:rPr>
          <w:color w:val="000000"/>
        </w:rPr>
      </w:pPr>
      <w:r>
        <w:rPr>
          <w:color w:val="000000"/>
        </w:rPr>
      </w:r>
    </w:p>
    <w:p>
      <w:pPr>
        <w:pStyle w:val="Body"/>
        <w:rPr>
          <w:color w:val="000000"/>
        </w:rPr>
      </w:pPr>
      <w:r>
        <w:rPr>
          <w:color w:val="000000"/>
        </w:rPr>
      </w:r>
    </w:p>
    <w:p>
      <w:pPr>
        <w:pStyle w:val="Body"/>
        <w:ind w:start="432" w:end="0"/>
        <w:rPr>
          <w:color w:val="000000"/>
        </w:rPr>
      </w:pPr>
      <w:r>
        <w:rPr>
          <w:color w:val="000000"/>
        </w:rPr>
      </w:r>
    </w:p>
    <w:p>
      <w:pPr>
        <w:pStyle w:val="Body"/>
        <w:rPr>
          <w:color w:val="000000"/>
        </w:rPr>
      </w:pPr>
      <w:r>
        <w:rPr>
          <w:color w:val="000000"/>
        </w:rPr>
      </w:r>
    </w:p>
    <w:p>
      <w:pPr>
        <w:pStyle w:val="Body"/>
        <w:ind w:start="0" w:end="0"/>
        <w:rPr>
          <w:color w:val="000000"/>
        </w:rPr>
      </w:pPr>
      <w:r>
        <w:rPr>
          <w:color w:val="000000"/>
        </w:rPr>
      </w:r>
    </w:p>
    <w:p>
      <w:pPr>
        <w:pStyle w:val="Body"/>
        <w:rPr>
          <w:color w:val="000000"/>
        </w:rPr>
      </w:pPr>
      <w:r>
        <w:rPr>
          <w:color w:val="000000"/>
        </w:rPr>
      </w:r>
    </w:p>
    <w:sectPr>
      <w:headerReference w:type="default" r:id="rId3"/>
      <w:headerReference w:type="first" r:id="rId4"/>
      <w:footerReference w:type="default" r:id="rId5"/>
      <w:footerReference w:type="first" r:id="rId6"/>
      <w:footnotePr>
        <w:numFmt w:val="decimal"/>
      </w:footnotePr>
      <w:type w:val="nextPage"/>
      <w:pgSz w:w="11906" w:h="16838"/>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 w:val="right" w:pos="10800" w:leader="none"/>
      </w:tabs>
      <w:jc w:val="center"/>
      <w:rPr>
        <w:b/>
        <w:sz w:val="16"/>
      </w:rPr>
    </w:pPr>
    <w:r>
      <w:rPr>
        <w:b/>
        <w:sz w:val="16"/>
      </w:rPr>
      <w:t>Endless Possibilites</w:t>
    </w:r>
  </w:p>
  <w:p>
    <w:pPr>
      <w:pStyle w:val="Footer"/>
      <w:tabs>
        <w:tab w:val="clear" w:pos="4320"/>
        <w:tab w:val="left" w:pos="3780" w:leader="none"/>
        <w:tab w:val="center" w:pos="7560" w:leader="none"/>
        <w:tab w:val="right" w:pos="8640" w:leader="none"/>
        <w:tab w:val="right" w:pos="10800" w:leader="none"/>
      </w:tabs>
      <w:rPr>
        <w:b/>
        <w:sz w:val="12"/>
      </w:rPr>
    </w:pPr>
    <w:r>
      <w:rPr>
        <w:b/>
        <w:sz w:val="12"/>
      </w:rPr>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16"/>
        </w:rPr>
        <w:t xml:space="preserve"> </w:t>
      </w:r>
      <w:r>
        <w:rPr>
          <w:sz w:val="16"/>
        </w:rPr>
        <w:t>The Henry Bath warehouse operation is owned and operated by the Enron Metals group through a number of 100% subsidiaries and joint venture operations</w:t>
      </w:r>
    </w:p>
  </w:footnote>
  <w:footnote w:id="3">
    <w:p>
      <w:pPr>
        <w:pStyle w:val="FootnoteText"/>
        <w:rPr/>
      </w:pPr>
      <w:r>
        <w:rPr>
          <w:rStyle w:val="FootnoteCharacters"/>
        </w:rPr>
        <w:footnoteRef/>
      </w:r>
      <w:r>
        <w:rPr/>
        <w:t xml:space="preserve"> </w:t>
      </w:r>
      <w:r>
        <w:rPr>
          <w:sz w:val="16"/>
        </w:rPr>
        <w:t>New York Board of Trade – The market in New York is open from 9am to 1pm (London - 2pm to 6pm)</w:t>
      </w:r>
    </w:p>
  </w:footnote>
  <w:footnote w:id="4">
    <w:p>
      <w:pPr>
        <w:pStyle w:val="FootnoteText"/>
        <w:rPr/>
      </w:pPr>
      <w:r>
        <w:rPr>
          <w:rStyle w:val="FootnoteCharacters"/>
        </w:rPr>
        <w:footnoteRef/>
      </w:r>
      <w:r>
        <w:rPr/>
        <w:t xml:space="preserve"> </w:t>
      </w:r>
      <w:r>
        <w:rPr>
          <w:sz w:val="16"/>
        </w:rPr>
        <w:t>London International Financial Futures and Options Exchange – The market in London is open from 9.30am to 6pm. The opening hours of NYBOT are therefore completely within the opening hours of LIFFE.</w:t>
      </w:r>
    </w:p>
  </w:footnote>
  <w:footnote w:id="5">
    <w:p>
      <w:pPr>
        <w:pStyle w:val="FootnoteText"/>
        <w:rPr/>
      </w:pPr>
      <w:r>
        <w:rPr>
          <w:rStyle w:val="FootnoteCharacters"/>
        </w:rPr>
        <w:footnoteRef/>
      </w:r>
      <w:r>
        <w:rPr/>
        <w:t xml:space="preserve"> </w:t>
      </w:r>
      <w:r>
        <w:rPr>
          <w:sz w:val="16"/>
        </w:rPr>
        <w:t>As defined for regulatory purposes</w:t>
      </w:r>
    </w:p>
  </w:footnote>
  <w:footnote w:id="6">
    <w:p>
      <w:pPr>
        <w:pStyle w:val="FootnoteText"/>
        <w:rPr/>
      </w:pPr>
      <w:r>
        <w:rPr>
          <w:rStyle w:val="FootnoteCharacters"/>
        </w:rPr>
        <w:footnoteRef/>
      </w:r>
      <w:r>
        <w:rPr/>
        <w:t xml:space="preserve"> </w:t>
      </w:r>
      <w:r>
        <w:rPr>
          <w:sz w:val="16"/>
        </w:rPr>
        <w:t>EPOL is a UK corporation 100% owned by Enron Europe Limited and which is treated as a corporation for US tax purposes. EPOL is the administrative services company which employs the majority of London based employees, and incurs the London office related overheads</w:t>
      </w:r>
    </w:p>
  </w:footnote>
  <w:footnote w:id="7">
    <w:p>
      <w:pPr>
        <w:pStyle w:val="FootnoteText"/>
        <w:rPr/>
      </w:pPr>
      <w:r>
        <w:rPr>
          <w:rStyle w:val="FootnoteCharacters"/>
        </w:rPr>
        <w:footnoteRef/>
      </w:r>
      <w:r>
        <w:rPr/>
        <w:t xml:space="preserve"> </w:t>
      </w:r>
      <w:r>
        <w:rPr>
          <w:sz w:val="16"/>
        </w:rPr>
        <w:t>Credit netting may not always result in benefits as there may be cross border or jurisdictional bankruptcy law issues preventing effective credit netting. However, there is no credit downside.</w:t>
      </w:r>
    </w:p>
  </w:footnote>
  <w:footnote w:id="8">
    <w:p>
      <w:pPr>
        <w:pStyle w:val="FootnoteText"/>
        <w:rPr/>
      </w:pPr>
      <w:r>
        <w:rPr>
          <w:rStyle w:val="FootnoteCharacters"/>
        </w:rPr>
        <w:footnoteRef/>
      </w:r>
      <w:r>
        <w:rPr/>
        <w:t xml:space="preserve"> </w:t>
      </w:r>
      <w:r>
        <w:rPr>
          <w:sz w:val="16"/>
        </w:rPr>
        <w:t>Under UK domestic tax law, a corporate entity is tax resident in the UK if it is either i) incorporated in the UK, or ii) it is managed and controlled in the UK. For UK tax purposes a Delaware LLC is regarded as a corporate entity, and, subject to the definition of UK tax resident in the particular tax treaty, will generally qualify for tax treaty benefits as a UK tax resident.</w:t>
      </w:r>
    </w:p>
  </w:footnote>
  <w:footnote w:id="9">
    <w:p>
      <w:pPr>
        <w:pStyle w:val="FootnoteText"/>
        <w:rPr/>
      </w:pPr>
      <w:r>
        <w:rPr>
          <w:rStyle w:val="FootnoteCharacters"/>
        </w:rPr>
        <w:footnoteRef/>
      </w:r>
      <w:r>
        <w:rPr/>
        <w:t xml:space="preserve"> </w:t>
      </w:r>
      <w:r>
        <w:rPr>
          <w:sz w:val="16"/>
        </w:rPr>
        <w:t>Credit netting may not always result in benefits as there may be cross border or jurisdictional bankruptcy law issues preventing effective credit netting. However, there is no credit downside.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4</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92"/>
        </w:tabs>
        <w:ind w:start="792" w:hanging="360"/>
      </w:pPr>
      <w:rPr>
        <w:rFonts w:ascii="Symbol" w:hAnsi="Symbol" w:cs="Symbol" w:hint="default"/>
      </w:rPr>
    </w:lvl>
  </w:abstractNum>
  <w:abstractNum w:abstractNumId="3">
    <w:lvl w:ilvl="0">
      <w:start w:val="1"/>
      <w:numFmt w:val="decimal"/>
      <w:lvlText w:val="%1."/>
      <w:lvlJc w:val="start"/>
      <w:pPr>
        <w:tabs>
          <w:tab w:val="num" w:pos="432"/>
        </w:tabs>
        <w:ind w:start="432" w:hanging="360"/>
      </w:pPr>
      <w:rPr/>
    </w:lvl>
    <w:lvl w:ilvl="1">
      <w:start w:val="3"/>
      <w:isLgl/>
      <w:numFmt w:val="decimal"/>
      <w:lvlText w:val="%1.%2"/>
      <w:lvlJc w:val="start"/>
      <w:pPr>
        <w:tabs>
          <w:tab w:val="num" w:pos="432"/>
        </w:tabs>
        <w:ind w:start="432" w:hanging="360"/>
      </w:pPr>
      <w:rPr/>
    </w:lvl>
    <w:lvl w:ilvl="2">
      <w:start w:val="1"/>
      <w:isLgl/>
      <w:numFmt w:val="decimal"/>
      <w:lvlText w:val="%1.%2.%3"/>
      <w:lvlJc w:val="start"/>
      <w:pPr>
        <w:tabs>
          <w:tab w:val="num" w:pos="792"/>
        </w:tabs>
        <w:ind w:start="792" w:hanging="720"/>
      </w:pPr>
      <w:rPr/>
    </w:lvl>
    <w:lvl w:ilvl="3">
      <w:start w:val="1"/>
      <w:isLgl/>
      <w:numFmt w:val="decimal"/>
      <w:lvlText w:val="%1.%2.%3.%4"/>
      <w:lvlJc w:val="start"/>
      <w:pPr>
        <w:tabs>
          <w:tab w:val="num" w:pos="792"/>
        </w:tabs>
        <w:ind w:start="792" w:hanging="720"/>
      </w:pPr>
      <w:rPr/>
    </w:lvl>
    <w:lvl w:ilvl="4">
      <w:start w:val="1"/>
      <w:isLgl/>
      <w:numFmt w:val="decimal"/>
      <w:lvlText w:val="%1.%2.%3.%4.%5"/>
      <w:lvlJc w:val="start"/>
      <w:pPr>
        <w:tabs>
          <w:tab w:val="num" w:pos="1152"/>
        </w:tabs>
        <w:ind w:start="1152" w:hanging="1080"/>
      </w:pPr>
      <w:rPr/>
    </w:lvl>
    <w:lvl w:ilvl="5">
      <w:start w:val="1"/>
      <w:isLgl/>
      <w:numFmt w:val="decimal"/>
      <w:lvlText w:val="%1.%2.%3.%4.%5.%6"/>
      <w:lvlJc w:val="start"/>
      <w:pPr>
        <w:tabs>
          <w:tab w:val="num" w:pos="1152"/>
        </w:tabs>
        <w:ind w:start="1152" w:hanging="1080"/>
      </w:pPr>
      <w:rPr/>
    </w:lvl>
    <w:lvl w:ilvl="6">
      <w:start w:val="1"/>
      <w:isLgl/>
      <w:numFmt w:val="decimal"/>
      <w:lvlText w:val="%1.%2.%3.%4.%5.%6.%7"/>
      <w:lvlJc w:val="start"/>
      <w:pPr>
        <w:tabs>
          <w:tab w:val="num" w:pos="1512"/>
        </w:tabs>
        <w:ind w:start="1512" w:hanging="1440"/>
      </w:pPr>
      <w:rPr/>
    </w:lvl>
    <w:lvl w:ilvl="7">
      <w:start w:val="1"/>
      <w:isLgl/>
      <w:numFmt w:val="decimal"/>
      <w:lvlText w:val="%1.%2.%3.%4.%5.%6.%7.%8"/>
      <w:lvlJc w:val="start"/>
      <w:pPr>
        <w:tabs>
          <w:tab w:val="num" w:pos="1512"/>
        </w:tabs>
        <w:ind w:start="1512" w:hanging="1440"/>
      </w:pPr>
      <w:rPr/>
    </w:lvl>
    <w:lvl w:ilvl="8">
      <w:start w:val="1"/>
      <w:isLgl/>
      <w:numFmt w:val="decimal"/>
      <w:lvlText w:val="%1.%2.%3.%4.%5.%6.%7.%8.%9"/>
      <w:lvlJc w:val="start"/>
      <w:pPr>
        <w:tabs>
          <w:tab w:val="num" w:pos="1872"/>
        </w:tabs>
        <w:ind w:start="1872" w:hanging="1800"/>
      </w:pPr>
      <w:rPr/>
    </w:lvl>
  </w:abstractNum>
  <w:abstractNum w:abstractNumId="4">
    <w:lvl w:ilvl="0">
      <w:start w:val="1"/>
      <w:numFmt w:val="upperLetter"/>
      <w:lvlText w:val="%1."/>
      <w:lvlJc w:val="start"/>
      <w:pPr>
        <w:tabs>
          <w:tab w:val="num" w:pos="432"/>
        </w:tabs>
        <w:ind w:start="432" w:hanging="360"/>
      </w:pPr>
      <w:rPr/>
    </w:lvl>
  </w:abstractNum>
  <w:abstractNum w:abstractNumId="5">
    <w:lvl w:ilvl="0">
      <w:start w:val="1"/>
      <w:numFmt w:val="bullet"/>
      <w:lvlText w:val=""/>
      <w:lvlJc w:val="start"/>
      <w:pPr>
        <w:tabs>
          <w:tab w:val="num" w:pos="792"/>
        </w:tabs>
        <w:ind w:start="792" w:hanging="360"/>
      </w:pPr>
      <w:rPr>
        <w:rFonts w:ascii="Symbol" w:hAnsi="Symbol" w:cs="Symbol" w:hint="default"/>
      </w:rPr>
    </w:lvl>
  </w:abstractNum>
  <w:abstractNum w:abstractNumId="6">
    <w:lvl w:ilvl="0">
      <w:start w:val="3"/>
      <w:numFmt w:val="upperLetter"/>
      <w:lvlText w:val="%1."/>
      <w:lvlJc w:val="start"/>
      <w:pPr>
        <w:tabs>
          <w:tab w:val="num" w:pos="360"/>
        </w:tabs>
        <w:ind w:start="360" w:hanging="360"/>
      </w:pPr>
      <w:rPr/>
    </w:lvl>
  </w:abstractNum>
  <w:abstractNum w:abstractNumId="7">
    <w:lvl w:ilvl="0">
      <w:start w:val="1"/>
      <w:numFmt w:val="bullet"/>
      <w:lvlText w:val=""/>
      <w:lvlJc w:val="start"/>
      <w:pPr>
        <w:tabs>
          <w:tab w:val="num" w:pos="792"/>
        </w:tabs>
        <w:ind w:start="792"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2001-02-01T15:17:00Z</dcterms:created>
  <dc:creator>jjuggin</dc:creator>
  <dc:description/>
  <dc:language>en-CA</dc:language>
  <cp:lastModifiedBy>jjuggin</cp:lastModifiedBy>
  <cp:lastPrinted>2001-02-01T17:37:00Z</cp:lastPrinted>
  <dcterms:modified xsi:type="dcterms:W3CDTF">2001-02-01T15:17:00Z</dcterms:modified>
  <cp:revision>2</cp:revision>
  <dc:subject>Tractebel Meeting</dc:subject>
  <dc:title> </dc:title>
</cp:coreProperties>
</file>