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November 1, 2001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 xml:space="preserve">Enron Corp. 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Bank Script (v2)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BBB+ (Negative outlook) / Baa2 (Negative watch)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2"/>
        <w:ind w:hanging="0" w:start="0"/>
        <w:rPr/>
      </w:pPr>
      <w:r>
        <w:rPr/>
        <w:t>PRESS RELEASE TODAY</w:t>
      </w:r>
    </w:p>
    <w:p>
      <w:pPr>
        <w:pStyle w:val="Normal"/>
        <w:numPr>
          <w:ilvl w:val="0"/>
          <w:numId w:val="4"/>
        </w:numPr>
        <w:spacing w:before="24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Today, Enron Corp. announced a $1B</w:t>
      </w:r>
      <w:r>
        <w:rPr>
          <w:rStyle w:val="FootnoteCharacters"/>
          <w:rStyle w:val="FootnoteReference"/>
          <w:rFonts w:cs="Arial" w:ascii="Arial" w:hAnsi="Arial"/>
          <w:sz w:val="24"/>
        </w:rPr>
        <w:footnoteReference w:id="2"/>
      </w:r>
      <w:r>
        <w:rPr>
          <w:rFonts w:cs="Arial" w:ascii="Arial" w:hAnsi="Arial"/>
          <w:sz w:val="24"/>
        </w:rPr>
        <w:t xml:space="preserve"> senior secured credit facility arranged by JPMorgan and Citi/SSB.  The financing will be comprised of credit facilities at two wholly-owned pipeline subsidiaries, Northern Natural Gas Company and Transwestern Pipeline Company.  The facilities will be secured by stock of the Borrowers and assets.  We have structural enhancements to “ring-fence” the Borrowers.</w:t>
      </w:r>
    </w:p>
    <w:p>
      <w:pPr>
        <w:pStyle w:val="Normal"/>
        <w:numPr>
          <w:ilvl w:val="0"/>
          <w:numId w:val="4"/>
        </w:numPr>
        <w:spacing w:before="24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Pricing is drawn L+250 and undrawn 50 bps.  The facilities will be “drawn”.  Pro-forma credit stats at the pipelines are approximately 4.5x debt/ebidta and 40-50% debt/cap.  Loan proceeds will be upstreamed to Enron Corp. via an intercompany loan.  Enron Corp. will provide a guarantee.  The guarantee will contain a negative pledge on Enron Corp.’s assets which will “preserve the status quo” between creditors and counterparties.</w:t>
      </w:r>
    </w:p>
    <w:p>
      <w:pPr>
        <w:pStyle w:val="Normal"/>
        <w:numPr>
          <w:ilvl w:val="0"/>
          <w:numId w:val="4"/>
        </w:numPr>
        <w:spacing w:before="24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The facilities are structured as 364 day revolvers, which are anticipated to be funded shortly after closing.  Proceeds will be used to supplement short-term liquidity and cover near term maturities.</w:t>
      </w:r>
    </w:p>
    <w:p>
      <w:pPr>
        <w:pStyle w:val="Normal"/>
        <w:numPr>
          <w:ilvl w:val="0"/>
          <w:numId w:val="4"/>
        </w:numPr>
        <w:spacing w:before="24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Take-out for the facilities may come from either debt or equity capital market transactions or asset sales from the Enron family.</w:t>
      </w:r>
    </w:p>
    <w:p>
      <w:pPr>
        <w:pStyle w:val="Normal"/>
        <w:numPr>
          <w:ilvl w:val="0"/>
          <w:numId w:val="4"/>
        </w:numPr>
        <w:spacing w:before="24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Enron, JPMorgan and Citi/SSB determined that extra liquidity in the form of a quickly arranged financing could be of great benefit with regard to “settling” financial markets and Enron trading counterparties.</w:t>
      </w:r>
    </w:p>
    <w:p>
      <w:pPr>
        <w:pStyle w:val="Heading1"/>
        <w:ind w:hanging="0" w:start="0"/>
        <w:rPr/>
      </w:pPr>
      <w:r>
        <w:rPr/>
        <w:t>RATING AGENCIES / BANK MEETINGS</w:t>
      </w:r>
    </w:p>
    <w:p>
      <w:pPr>
        <w:pStyle w:val="Normal"/>
        <w:numPr>
          <w:ilvl w:val="0"/>
          <w:numId w:val="2"/>
        </w:numPr>
        <w:spacing w:before="24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Enron has provided the ratings agencies with an update on Wednesday, Oct 31.  Enron will announce shortly an agenda for bank communications.</w:t>
      </w:r>
    </w:p>
    <w:p>
      <w:pPr>
        <w:pStyle w:val="Normal"/>
        <w:spacing w:before="24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GOALS</w:t>
      </w:r>
    </w:p>
    <w:p>
      <w:pPr>
        <w:pStyle w:val="Normal"/>
        <w:numPr>
          <w:ilvl w:val="0"/>
          <w:numId w:val="3"/>
        </w:numPr>
        <w:spacing w:before="24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Close $1B liquidity facilities.</w:t>
      </w:r>
    </w:p>
    <w:p>
      <w:pPr>
        <w:pStyle w:val="Normal"/>
        <w:numPr>
          <w:ilvl w:val="0"/>
          <w:numId w:val="3"/>
        </w:numPr>
        <w:spacing w:before="24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Heavy evaluation of cost structure.</w:t>
      </w:r>
    </w:p>
    <w:p>
      <w:pPr>
        <w:pStyle w:val="Normal"/>
        <w:numPr>
          <w:ilvl w:val="0"/>
          <w:numId w:val="3"/>
        </w:numPr>
        <w:spacing w:before="24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Evaluate capital market options.</w:t>
      </w:r>
    </w:p>
    <w:sectPr>
      <w:footnotePr>
        <w:numFmt w:val="decimal"/>
      </w:footnote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We are not highlighting the $1.2B accordian feature to lessen the temptation to hi-grade current exposure.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0"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2001-11-01T11:12:00Z</dcterms:created>
  <dc:creator>George Serice</dc:creator>
  <dc:description/>
  <dc:language>en-CA</dc:language>
  <cp:lastModifiedBy>George Serice</cp:lastModifiedBy>
  <cp:lastPrinted>2001-11-01T08:04:00Z</cp:lastPrinted>
  <dcterms:modified xsi:type="dcterms:W3CDTF">2001-11-01T12:50:00Z</dcterms:modified>
  <cp:revision>7</cp:revision>
  <dc:subject/>
  <dc:title>November 1, 2001</dc:title>
</cp:coreProperties>
</file>