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
        <w:jc w:val="center"/>
        <w:rPr/>
      </w:pPr>
      <w:r>
        <w:rPr/>
        <w:t>BEFORE</w:t>
      </w:r>
    </w:p>
    <w:p>
      <w:pPr>
        <w:pStyle w:val="BodyText"/>
        <w:jc w:val="center"/>
        <w:rPr/>
      </w:pPr>
      <w:r>
        <w:rPr/>
        <w:t>THE PUBLIC UTILITIES COMISSION OF OHIO</w:t>
      </w:r>
    </w:p>
    <w:p>
      <w:pPr>
        <w:pStyle w:val="BodyText"/>
        <w:rPr/>
      </w:pPr>
      <w:r>
        <w:rPr/>
      </w:r>
    </w:p>
    <w:p>
      <w:pPr>
        <w:pStyle w:val="BodyText"/>
        <w:rPr/>
      </w:pPr>
      <w:r>
        <w:rPr/>
      </w:r>
    </w:p>
    <w:p>
      <w:pPr>
        <w:pStyle w:val="BodyText"/>
        <w:rPr/>
      </w:pPr>
      <w:r>
        <w:rPr/>
        <w:t>In the Matter of the Application of</w:t>
        <w:tab/>
        <w:tab/>
        <w:t>)</w:t>
      </w:r>
    </w:p>
    <w:p>
      <w:pPr>
        <w:pStyle w:val="BodyText"/>
        <w:rPr/>
      </w:pPr>
      <w:r>
        <w:rPr/>
        <w:t>Enron Energy Services for a Waiver of</w:t>
        <w:tab/>
        <w:t>)</w:t>
        <w:tab/>
        <w:t>Case No.  01 ______ EL-UNC</w:t>
      </w:r>
    </w:p>
    <w:p>
      <w:pPr>
        <w:pStyle w:val="BodyText"/>
        <w:rPr/>
      </w:pPr>
      <w:r>
        <w:rPr/>
        <w:t>PUCO Rule OAC 4901 :1-21-11(C)</w:t>
        <w:tab/>
        <w:tab/>
        <w:t>)</w:t>
      </w:r>
    </w:p>
    <w:p>
      <w:pPr>
        <w:pStyle w:val="Normal"/>
        <w:rPr>
          <w:b/>
        </w:rPr>
      </w:pPr>
      <w:r>
        <w:rPr>
          <w:b/>
        </w:rPr>
      </w:r>
    </w:p>
    <w:p>
      <w:pPr>
        <w:pStyle w:val="Normal"/>
        <w:rPr>
          <w:b/>
        </w:rPr>
      </w:pPr>
      <w:r>
        <w:rPr>
          <w:b/>
        </w:rPr>
      </w:r>
    </w:p>
    <w:p>
      <w:pPr>
        <w:pStyle w:val="Heading1"/>
        <w:ind w:hanging="0" w:start="0"/>
        <w:rPr/>
      </w:pPr>
      <w:r>
        <w:rPr/>
        <w:t xml:space="preserve">MOTION OF ENRON ENERGY SERVICES </w:t>
      </w:r>
    </w:p>
    <w:p>
      <w:pPr>
        <w:pStyle w:val="Normal"/>
        <w:jc w:val="center"/>
        <w:rPr>
          <w:b/>
          <w:sz w:val="24"/>
        </w:rPr>
      </w:pPr>
      <w:r>
        <w:rPr>
          <w:b/>
          <w:sz w:val="24"/>
        </w:rPr>
        <w:t>FOR A WAIVER OF RULE 4901 : 1-21-11(C)</w:t>
      </w:r>
    </w:p>
    <w:p>
      <w:pPr>
        <w:pStyle w:val="Normal"/>
        <w:jc w:val="center"/>
        <w:rPr>
          <w:b/>
          <w:sz w:val="24"/>
        </w:rPr>
      </w:pPr>
      <w:r>
        <w:rPr>
          <w:b/>
          <w:sz w:val="24"/>
        </w:rPr>
        <w:t>AND</w:t>
      </w:r>
    </w:p>
    <w:p>
      <w:pPr>
        <w:pStyle w:val="Heading1"/>
        <w:pBdr>
          <w:bottom w:val="single" w:sz="12" w:space="1" w:color="000000"/>
        </w:pBdr>
        <w:ind w:hanging="0" w:start="0"/>
        <w:rPr/>
      </w:pPr>
      <w:r>
        <w:rPr/>
        <w:t>MOTION FOR AN EXPEDITED RULING</w:t>
      </w:r>
    </w:p>
    <w:p>
      <w:pPr>
        <w:pStyle w:val="Normal"/>
        <w:jc w:val="center"/>
        <w:rPr>
          <w:b/>
        </w:rPr>
      </w:pPr>
      <w:r>
        <w:rPr>
          <w:b/>
        </w:rPr>
      </w:r>
    </w:p>
    <w:p>
      <w:pPr>
        <w:pStyle w:val="Normal"/>
        <w:jc w:val="center"/>
        <w:rPr>
          <w:b/>
        </w:rPr>
      </w:pPr>
      <w:r>
        <w:rPr>
          <w:b/>
        </w:rPr>
      </w:r>
    </w:p>
    <w:p>
      <w:pPr>
        <w:pStyle w:val="Normal"/>
        <w:jc w:val="center"/>
        <w:rPr>
          <w:b/>
        </w:rPr>
      </w:pPr>
      <w:r>
        <w:rPr>
          <w:b/>
        </w:rPr>
      </w:r>
    </w:p>
    <w:p>
      <w:pPr>
        <w:pStyle w:val="BodyText2"/>
        <w:rPr/>
      </w:pPr>
      <w:r>
        <w:rPr/>
        <w:tab/>
        <w:t>Now comes Enron Energy Services (“Enron”), and respectfully requests the Public Utilities Commission of Ohio grant a limited waiver of OAC 4901:1-21-11(C) for the reasons set forth below in the Memorandum In Support.   Enron further requests an expedited ruling pursuant to its rule OAC 4901: 1-1-12 (C)</w:t>
      </w:r>
    </w:p>
    <w:p>
      <w:pPr>
        <w:pStyle w:val="Normal"/>
        <w:rPr/>
      </w:pPr>
      <w:r>
        <w:rPr/>
      </w:r>
    </w:p>
    <w:p>
      <w:pPr>
        <w:pStyle w:val="Normal"/>
        <w:ind w:firstLine="720" w:start="3600" w:end="0"/>
        <w:rPr>
          <w:sz w:val="24"/>
        </w:rPr>
      </w:pPr>
      <w:r>
        <w:rPr>
          <w:sz w:val="24"/>
        </w:rPr>
        <w:t xml:space="preserve">Respectfully submitted, </w:t>
      </w:r>
    </w:p>
    <w:p>
      <w:pPr>
        <w:pStyle w:val="Normal"/>
        <w:rPr>
          <w:sz w:val="24"/>
        </w:rPr>
      </w:pPr>
      <w:r>
        <w:rPr>
          <w:sz w:val="24"/>
        </w:rPr>
      </w:r>
    </w:p>
    <w:p>
      <w:pPr>
        <w:pStyle w:val="Normal"/>
        <w:ind w:firstLine="720" w:start="3600" w:end="0"/>
        <w:rPr>
          <w:sz w:val="24"/>
        </w:rPr>
      </w:pPr>
      <w:r>
        <w:rPr>
          <w:sz w:val="24"/>
        </w:rPr>
      </w:r>
    </w:p>
    <w:p>
      <w:pPr>
        <w:pStyle w:val="Normal"/>
        <w:ind w:firstLine="720" w:start="3600" w:end="0"/>
        <w:rPr>
          <w:sz w:val="24"/>
        </w:rPr>
      </w:pPr>
      <w:r>
        <w:rPr>
          <w:sz w:val="24"/>
        </w:rPr>
        <w:t>______________________________</w:t>
      </w:r>
    </w:p>
    <w:p>
      <w:pPr>
        <w:pStyle w:val="Normal"/>
        <w:ind w:firstLine="720" w:start="3600" w:end="0"/>
        <w:rPr>
          <w:sz w:val="24"/>
        </w:rPr>
      </w:pPr>
      <w:r>
        <w:rPr>
          <w:sz w:val="24"/>
        </w:rPr>
        <w:t>Janine L. Migden</w:t>
      </w:r>
    </w:p>
    <w:p>
      <w:pPr>
        <w:pStyle w:val="Normal"/>
        <w:ind w:firstLine="720" w:start="3600" w:end="0"/>
        <w:rPr>
          <w:sz w:val="24"/>
        </w:rPr>
      </w:pPr>
      <w:r>
        <w:rPr>
          <w:sz w:val="24"/>
        </w:rPr>
        <w:t>Enron Corp</w:t>
      </w:r>
    </w:p>
    <w:p>
      <w:pPr>
        <w:pStyle w:val="Normal"/>
        <w:ind w:firstLine="720" w:start="3600" w:end="0"/>
        <w:rPr>
          <w:sz w:val="24"/>
        </w:rPr>
      </w:pPr>
      <w:r>
        <w:rPr>
          <w:sz w:val="24"/>
        </w:rPr>
      </w:r>
    </w:p>
    <w:p>
      <w:pPr>
        <w:pStyle w:val="Normal"/>
        <w:rPr>
          <w:sz w:val="24"/>
        </w:rPr>
      </w:pPr>
      <w:r>
        <w:rPr>
          <w:sz w:val="24"/>
        </w:rPr>
      </w:r>
    </w:p>
    <w:p>
      <w:pPr>
        <w:pStyle w:val="Normal"/>
        <w:rPr/>
      </w:pPr>
      <w:r>
        <w:rPr/>
      </w:r>
      <w:r>
        <w:br w:type="page"/>
      </w:r>
    </w:p>
    <w:p>
      <w:pPr>
        <w:pStyle w:val="Heading1"/>
        <w:ind w:hanging="0" w:start="0"/>
        <w:rPr/>
      </w:pPr>
      <w:r>
        <w:rPr/>
        <w:t>MEMORANDUM IN SUPPORT</w:t>
      </w:r>
    </w:p>
    <w:p>
      <w:pPr>
        <w:pStyle w:val="Normal"/>
        <w:rPr/>
      </w:pPr>
      <w:r>
        <w:rPr/>
      </w:r>
    </w:p>
    <w:p>
      <w:pPr>
        <w:pStyle w:val="Heading2"/>
        <w:numPr>
          <w:ilvl w:val="0"/>
          <w:numId w:val="2"/>
        </w:numPr>
        <w:ind w:hanging="0" w:start="0"/>
        <w:rPr/>
      </w:pPr>
      <w:r>
        <w:rPr/>
        <w:t>Introduction</w:t>
      </w:r>
    </w:p>
    <w:p>
      <w:pPr>
        <w:pStyle w:val="Normal"/>
        <w:rPr/>
      </w:pPr>
      <w:r>
        <w:rPr/>
      </w:r>
    </w:p>
    <w:p>
      <w:pPr>
        <w:pStyle w:val="BodyTextIndent"/>
        <w:spacing w:lineRule="auto" w:line="480"/>
        <w:ind w:firstLine="360" w:end="0"/>
        <w:rPr/>
      </w:pPr>
      <w:r>
        <w:rPr/>
        <w:t xml:space="preserve">Enron Energy Services, Inc. (“Enron”) is a certified competitive retail electric service provider (CRES) with an office in Dublin, Ohio.  Since prior to the introduction of Senate Bill 3 (electric deregulation), Enron has been active in legislative and regulatory proceedings designed to bring customer choice to Ohioans for their energy commodity.   For more than a decade, Enron has offered substantial savings on natural gas supplies to commercial and industrial customers throughout the entire State.  Enron is also now serving electrical energy needs of several commercial and industrial customers in the FirstEnergy service territory as part of the Market Support Generation program, again providing significant savings to business customers.  </w:t>
      </w:r>
    </w:p>
    <w:p>
      <w:pPr>
        <w:pStyle w:val="BodyTextIndent"/>
        <w:ind w:start="1008" w:end="0"/>
        <w:rPr/>
      </w:pPr>
      <w:r>
        <w:rPr/>
      </w:r>
    </w:p>
    <w:p>
      <w:pPr>
        <w:pStyle w:val="BodyTextIndent"/>
        <w:spacing w:lineRule="auto" w:line="480"/>
        <w:ind w:firstLine="360" w:end="0"/>
        <w:rPr/>
      </w:pPr>
      <w:r>
        <w:rPr/>
        <w:t xml:space="preserve">Enron seeks to expand its marketing efforts throughout the State by providing electric service to small non-mercantile commercial customers as well as mercantile commercial and industrial customers outside of the Market Support Generation program.  Given current market conditions, however, Enron can only offer a significant number of non-mercantile commercial customers power savings on contracts if the term of the agreements exceeds twenty-four months.  To be able to make such customers a money savings offer, Enron now requests that the Commission waive for commercial customers only the twenty four month term restriction found in OAC 4901: 1-1-12 (C). </w:t>
      </w:r>
    </w:p>
    <w:p>
      <w:pPr>
        <w:pStyle w:val="BodyTextIndent"/>
        <w:ind w:start="1008" w:end="0"/>
        <w:rPr/>
      </w:pPr>
      <w:r>
        <w:rPr/>
      </w:r>
    </w:p>
    <w:p>
      <w:pPr>
        <w:pStyle w:val="BodyTextIndent"/>
        <w:ind w:firstLine="360" w:end="0"/>
        <w:rPr/>
      </w:pPr>
      <w:r>
        <w:rPr/>
        <w:t>OAC 4901:1-21-11(C) states as follows:</w:t>
      </w:r>
    </w:p>
    <w:p>
      <w:pPr>
        <w:pStyle w:val="BodyTextIndent"/>
        <w:ind w:start="1008" w:end="0"/>
        <w:rPr/>
      </w:pPr>
      <w:r>
        <w:rPr/>
      </w:r>
    </w:p>
    <w:p>
      <w:pPr>
        <w:pStyle w:val="BodyTextIndent"/>
        <w:ind w:start="1440" w:end="1440"/>
        <w:rPr/>
      </w:pPr>
      <w:r>
        <w:rPr/>
        <w:t>During the Market Development Period or until December 21, 2005, whichever comes last, a CRES Provider shall establish residential and small commercial contract terms of not more than twenty-four consecutive months.</w:t>
      </w:r>
    </w:p>
    <w:p>
      <w:pPr>
        <w:pStyle w:val="BodyTextIndent"/>
        <w:ind w:start="1008" w:end="0"/>
        <w:rPr/>
      </w:pPr>
      <w:r>
        <w:rPr/>
      </w:r>
    </w:p>
    <w:p>
      <w:pPr>
        <w:pStyle w:val="BodyTextIndent"/>
        <w:spacing w:lineRule="auto" w:line="480"/>
        <w:ind w:firstLine="360" w:end="0"/>
        <w:rPr/>
      </w:pPr>
      <w:r>
        <w:rPr/>
        <w:t>The purpose of the rule is to prevent unsophisticated energy shoppers from making a commitment to purchase power at sub-optimal prices for more than two years.  The problem is that given today's market conditions which feature a downward market curve, and the amount that all customers must pay in transition and regulatory asset charges, it will take more than a two-year term to produce savings over tariff.  Thus, rather than preventing sub-optimal pricing, the rule actually creates sub-optimal pricing, by banning an alternative to tariff rates that could save a commercial customer money during the market development period.</w:t>
      </w:r>
    </w:p>
    <w:p>
      <w:pPr>
        <w:pStyle w:val="BodyTextIndent"/>
        <w:ind w:start="1008" w:end="0"/>
        <w:rPr/>
      </w:pPr>
      <w:r>
        <w:rPr/>
      </w:r>
    </w:p>
    <w:p>
      <w:pPr>
        <w:pStyle w:val="BodyTextIndent"/>
        <w:spacing w:lineRule="auto" w:line="480"/>
        <w:ind w:firstLine="360" w:end="0"/>
        <w:rPr/>
      </w:pPr>
      <w:r>
        <w:rPr/>
        <w:t>The Commission must strike the proper balance between protecting unsophisticated shoppers from entering into imprudent arrangements, and permitting entrepreneurs to pursue their best interests.  Thus, Enron asks that the rule be relaxed so that business accounts be permitted to enter into contracts for more than twenty-four months.</w:t>
      </w:r>
      <w:r>
        <w:rPr>
          <w:b/>
        </w:rPr>
        <w:t xml:space="preserve">  Enron is not seeking a waiver of this rule for residential customers.</w:t>
      </w:r>
    </w:p>
    <w:p>
      <w:pPr>
        <w:pStyle w:val="BodyTextIndent"/>
        <w:ind w:start="1008" w:end="0"/>
        <w:rPr/>
      </w:pPr>
      <w:r>
        <w:rPr/>
      </w:r>
    </w:p>
    <w:p>
      <w:pPr>
        <w:pStyle w:val="BodyTextIndent"/>
        <w:rPr/>
      </w:pPr>
      <w:r>
        <w:rPr/>
      </w:r>
    </w:p>
    <w:p>
      <w:pPr>
        <w:pStyle w:val="BodyTextIndent"/>
        <w:numPr>
          <w:ilvl w:val="0"/>
          <w:numId w:val="2"/>
        </w:numPr>
        <w:rPr>
          <w:b/>
        </w:rPr>
      </w:pPr>
      <w:r>
        <w:rPr>
          <w:b/>
        </w:rPr>
        <w:t>Without the Ability to Offer Longer Term Contracts, Small Commercial Customers Will Not Be Able To Take Advantage of Energy Savings.</w:t>
      </w:r>
    </w:p>
    <w:p>
      <w:pPr>
        <w:pStyle w:val="BodyTextIndent"/>
        <w:rPr>
          <w:b/>
        </w:rPr>
      </w:pPr>
      <w:r>
        <w:rPr>
          <w:b/>
        </w:rPr>
      </w:r>
    </w:p>
    <w:p>
      <w:pPr>
        <w:pStyle w:val="BodyTextIndent"/>
        <w:spacing w:lineRule="auto" w:line="480"/>
        <w:ind w:firstLine="360" w:end="0"/>
        <w:rPr/>
      </w:pPr>
      <w:r>
        <w:rPr/>
        <w:t xml:space="preserve">When determining whether it is feasible to market power to specific customers, the key factor is whether we can offer a program that will create savings.  There are many component parts to the analysis of our costs in determining whether we have a value proposition.  One of the most critical components is the cost of obtaining the commodity on the market.  Enron is one of the world’s leading marketers of electricity and gas, with annual revenues exceeding $100 billion.  Our experience in the wholesale market has contributed significantly to Enron’s success.   Enron finds in the market today that the price for power contracted for over a longer term results in lower costs per unit than the price per unit which can be contracted for over a shorter period.  Given the price of generation, “availability of transmission”, and, the transition riders, for many commercial customers, little if any savings over tariff service can be offered on a fixed price contract under twenty five months.  By contrast, these same customers could enjoy savings if the power could be offered as part of a 36 or 48-month contract. </w:t>
      </w:r>
    </w:p>
    <w:p>
      <w:pPr>
        <w:pStyle w:val="BodyTextIndent"/>
        <w:ind w:start="1080" w:end="0"/>
        <w:rPr/>
      </w:pPr>
      <w:r>
        <w:rPr/>
      </w:r>
    </w:p>
    <w:p>
      <w:pPr>
        <w:pStyle w:val="BodyTextIndent"/>
        <w:spacing w:lineRule="auto" w:line="480"/>
        <w:ind w:firstLine="360" w:end="0"/>
        <w:rPr/>
      </w:pPr>
      <w:r>
        <w:rPr/>
        <w:t>In sum, with a two-year cap, it may be difficult, if not impossible for Enron to offer a value proposition to customers in certain service areas.  The result is that small customers will continue to pay the incumbent’s bundled rate as opposed to enjoying reductions in their energy costs.  Those lost savings prevent Ohio small businesses from having additional funds to pump back into their businesses to strengthen the local economy.  A further result is that small customers will be at a competitive disadvantage created by the Commission's rule vis-à-vis their larger neighbors (those consuming 700,000kwh/year), who today could sign up for a savings contract with a term of more than twenty four months.   This kind of discrimination is an unintended consequence of this rule, which can be corrected if the waiver is granted.</w:t>
      </w:r>
    </w:p>
    <w:p>
      <w:pPr>
        <w:pStyle w:val="BodyTextIndent"/>
        <w:ind w:start="1080" w:end="0"/>
        <w:rPr/>
      </w:pPr>
      <w:r>
        <w:rPr/>
      </w:r>
    </w:p>
    <w:p>
      <w:pPr>
        <w:pStyle w:val="BodyTextIndent"/>
        <w:numPr>
          <w:ilvl w:val="0"/>
          <w:numId w:val="2"/>
        </w:numPr>
        <w:rPr>
          <w:b/>
        </w:rPr>
      </w:pPr>
      <w:r>
        <w:rPr>
          <w:b/>
        </w:rPr>
        <w:t>Small Commercial Customers Should Have the Right to Choose Service Providers and the Length of Their Contracts</w:t>
      </w:r>
    </w:p>
    <w:p>
      <w:pPr>
        <w:pStyle w:val="BodyTextIndent"/>
        <w:rPr>
          <w:b/>
        </w:rPr>
      </w:pPr>
      <w:r>
        <w:rPr>
          <w:b/>
        </w:rPr>
      </w:r>
    </w:p>
    <w:p>
      <w:pPr>
        <w:pStyle w:val="BodyTextIndent"/>
        <w:spacing w:lineRule="auto" w:line="480"/>
        <w:ind w:firstLine="360" w:end="0"/>
        <w:rPr/>
      </w:pPr>
      <w:r>
        <w:rPr/>
        <w:t xml:space="preserve">The Commission’s goals of protecting small commercial customers by establishing Rule OAC 4901:1-21-11, were certainly laudable at the time, however, now with the benefit of hindsight offered through careful analysis and practical application, it is clear that there are unintended, harmful consequences, namely the contract term limit will exclude many small customers from having the opportunity to exercise choice.  If commercial customers, even the small “Mom and Pop” enterprises, have the business acumen to successfully operate a small business, then they have the ability to choose an electric supplier.  Purchasing power is not much different, or more complex than purchasing health insurance, leasing commercial space or making wholesale agreements for stock to sell. Nor is the analysis very complicated during the market development period to determine if a CRES provider's offer will create a savings over tariff, especially since the utility must print the shopping credit amount on the customer's bill. </w:t>
      </w:r>
    </w:p>
    <w:p>
      <w:pPr>
        <w:pStyle w:val="BodyTextIndent"/>
        <w:ind w:start="1080" w:end="0"/>
        <w:rPr/>
      </w:pPr>
      <w:r>
        <w:rPr/>
      </w:r>
    </w:p>
    <w:p>
      <w:pPr>
        <w:pStyle w:val="BodyTextIndent"/>
        <w:spacing w:lineRule="auto" w:line="480"/>
        <w:ind w:firstLine="360" w:end="0"/>
        <w:rPr/>
      </w:pPr>
      <w:r>
        <w:rPr/>
        <w:t xml:space="preserve">The Commission’s rules create an artificial barrier to market entry by tying the hands of both the customer and the marketer.  There is no reason why customers should have restrictions placed on their ability to determine what length of contract is in their economic best interests.  Business customers are intelligent enough to determine that on their own.  From a business perspective, there are many factors that influence the term of a contract which a business may select and many of these factors militate a longer term approach.  For example, a business owner, out of cash flow concerns, may prefer to have the energy savings over a four-year period disproportionately paid in the first year.  Further a customer may prefer to lock in and budget for a price over a longer term of years as a hedge against price volatility.  This rule prevents such arrangements, even though it may be in the best interest of the business customer. The clear point is that the two-year restriction ties the hands of both the marketer and the customer in terms of offering a range of solutions and products that can meet the customer’s needs and provide savings.  The benefits of granting the waiver far outweigh the benefits of not granting the waiver.  Furthermore, the detriments of not granting the waiver outweigh the benefits of the Rule. </w:t>
      </w:r>
    </w:p>
    <w:p>
      <w:pPr>
        <w:pStyle w:val="BodyTextIndent"/>
        <w:rPr/>
      </w:pPr>
      <w:r>
        <w:rPr/>
      </w:r>
    </w:p>
    <w:p>
      <w:pPr>
        <w:pStyle w:val="BodyTextIndent"/>
        <w:rPr/>
      </w:pPr>
      <w:r>
        <w:rPr/>
      </w:r>
    </w:p>
    <w:p>
      <w:pPr>
        <w:pStyle w:val="BodyTextIndent"/>
        <w:numPr>
          <w:ilvl w:val="0"/>
          <w:numId w:val="2"/>
        </w:numPr>
        <w:rPr>
          <w:b/>
        </w:rPr>
      </w:pPr>
      <w:r>
        <w:rPr>
          <w:b/>
        </w:rPr>
        <w:t>Pursuant to PUCO Rule 4901-1-12(C), Enron’s Motion for an Expedited Ruling Should Be Granted</w:t>
      </w:r>
    </w:p>
    <w:p>
      <w:pPr>
        <w:pStyle w:val="BodyTextIndent"/>
        <w:rPr>
          <w:b/>
        </w:rPr>
      </w:pPr>
      <w:r>
        <w:rPr>
          <w:b/>
        </w:rPr>
      </w:r>
    </w:p>
    <w:p>
      <w:pPr>
        <w:pStyle w:val="BodyTextIndent"/>
        <w:spacing w:lineRule="auto" w:line="480"/>
        <w:ind w:firstLine="360" w:end="0"/>
        <w:rPr/>
      </w:pPr>
      <w:r>
        <w:rPr/>
        <w:t>Enron requests an expedited ruling in order to begin marketing as quickly as possible.  Time lost is irretrievable savings lost for customers, and as well, it is lost revenues for Enron.  To date, the emergence of competition in Ohio has been sluggish and the granting of this Motion will help revitalize the competitive industry by providing real choices through real savings for customers.  Enron has a team of sales representatives who are ready to market products to small commercial Ohioans once this issue is resolved.  Given that the shopping credit has a finite life, customers should be able to take advantage of it as soon as possible.  An expedited ruling in favor of granting the waiver will allow that to happen.  As this is a new filing, thee are no other parties to this case to contact regarding an expedited ruling.</w:t>
      </w:r>
    </w:p>
    <w:p>
      <w:pPr>
        <w:pStyle w:val="BodyTextIndent"/>
        <w:ind w:start="1080" w:end="0"/>
        <w:rPr/>
      </w:pPr>
      <w:r>
        <w:rPr/>
      </w:r>
      <w:r>
        <w:br w:type="page"/>
      </w:r>
    </w:p>
    <w:p>
      <w:pPr>
        <w:pStyle w:val="BodyTextIndent"/>
        <w:spacing w:lineRule="auto" w:line="480"/>
        <w:ind w:firstLine="360" w:end="0"/>
        <w:rPr/>
      </w:pPr>
      <w:r>
        <w:rPr/>
        <w:t>WHEREFORE, Enron respectfully requests that this Commission grant its Motion for a Waiver of  OAC 4901: 1-12-l1(C) on an expedited basis pursuant to Rule 4901-1-12(C) for the reasons set forth in this Memorandum In Support.</w:t>
      </w:r>
    </w:p>
    <w:p>
      <w:pPr>
        <w:pStyle w:val="BodyTextIndent"/>
        <w:ind w:start="1080" w:end="0"/>
        <w:rPr/>
      </w:pPr>
      <w:r>
        <w:rPr/>
      </w:r>
    </w:p>
    <w:p>
      <w:pPr>
        <w:pStyle w:val="BodyTextIndent"/>
        <w:ind w:firstLine="360" w:start="3960" w:end="0"/>
        <w:rPr/>
      </w:pPr>
      <w:r>
        <w:rPr/>
        <w:t>Respectfully submitted,</w:t>
      </w:r>
    </w:p>
    <w:p>
      <w:pPr>
        <w:pStyle w:val="BodyTextIndent"/>
        <w:ind w:start="1080" w:end="0"/>
        <w:rPr/>
      </w:pPr>
      <w:r>
        <w:rPr/>
      </w:r>
    </w:p>
    <w:p>
      <w:pPr>
        <w:pStyle w:val="BodyTextIndent"/>
        <w:ind w:start="1080" w:end="0"/>
        <w:rPr/>
      </w:pPr>
      <w:r>
        <w:rPr/>
      </w:r>
    </w:p>
    <w:p>
      <w:pPr>
        <w:pStyle w:val="BodyTextIndent"/>
        <w:ind w:firstLine="720" w:start="3600" w:end="0"/>
        <w:rPr/>
      </w:pPr>
      <w:r>
        <w:rPr/>
        <w:t>__________________</w:t>
      </w:r>
    </w:p>
    <w:p>
      <w:pPr>
        <w:pStyle w:val="BodyTextIndent"/>
        <w:ind w:firstLine="360" w:start="3960" w:end="0"/>
        <w:rPr/>
      </w:pPr>
      <w:r>
        <w:rPr/>
        <w:t>Janine L. Migden, Esq.</w:t>
      </w:r>
    </w:p>
    <w:p>
      <w:pPr>
        <w:pStyle w:val="BodyTextIndent"/>
        <w:ind w:start="0" w:end="0"/>
        <w:rPr/>
      </w:pPr>
      <w:r>
        <w:rPr/>
        <w:t xml:space="preserve">                 </w:t>
      </w:r>
      <w:r>
        <w:rPr/>
        <w:tab/>
        <w:tab/>
        <w:tab/>
        <w:tab/>
        <w:tab/>
        <w:t>Supreme Court # 0002310</w:t>
      </w:r>
    </w:p>
    <w:p>
      <w:pPr>
        <w:pStyle w:val="BodyTextIndent"/>
        <w:ind w:start="0" w:end="0"/>
        <w:rPr/>
      </w:pPr>
      <w:r>
        <w:rPr/>
        <w:t xml:space="preserve">                  </w:t>
      </w:r>
      <w:r>
        <w:rPr/>
        <w:tab/>
        <w:tab/>
        <w:tab/>
        <w:tab/>
        <w:tab/>
        <w:t>Regulatory Counsel</w:t>
      </w:r>
    </w:p>
    <w:p>
      <w:pPr>
        <w:pStyle w:val="BodyTextIndent"/>
        <w:ind w:firstLine="360" w:start="3960" w:end="0"/>
        <w:rPr/>
      </w:pPr>
      <w:r>
        <w:rPr/>
        <w:t>Enron Energy Services</w:t>
      </w:r>
    </w:p>
    <w:p>
      <w:pPr>
        <w:pStyle w:val="BodyTextIndent"/>
        <w:ind w:firstLine="720" w:start="3600" w:end="0"/>
        <w:rPr/>
      </w:pPr>
      <w:r>
        <w:rPr/>
        <w:t>400 Metro Place North</w:t>
      </w:r>
    </w:p>
    <w:p>
      <w:pPr>
        <w:pStyle w:val="BodyTextIndent"/>
        <w:ind w:firstLine="360" w:start="3960" w:end="0"/>
        <w:rPr/>
      </w:pPr>
      <w:r>
        <w:rPr/>
        <w:t>Dublin, Ohio  43017</w:t>
      </w:r>
    </w:p>
    <w:p>
      <w:pPr>
        <w:pStyle w:val="BodyTextIndent"/>
        <w:ind w:start="1080" w:end="0"/>
        <w:rPr/>
      </w:pPr>
      <w:r>
        <w:rPr/>
      </w:r>
      <w:r>
        <w:br w:type="page"/>
      </w:r>
    </w:p>
    <w:p>
      <w:pPr>
        <w:pStyle w:val="Normal"/>
        <w:jc w:val="center"/>
        <w:rPr>
          <w:sz w:val="24"/>
        </w:rPr>
      </w:pPr>
      <w:r>
        <w:rPr>
          <w:sz w:val="24"/>
        </w:rPr>
        <w:t>CERTIFICATE OF SERVICE</w:t>
      </w:r>
    </w:p>
    <w:p>
      <w:pPr>
        <w:pStyle w:val="Normal"/>
        <w:jc w:val="center"/>
        <w:rPr>
          <w:sz w:val="24"/>
        </w:rPr>
      </w:pPr>
      <w:r>
        <w:rPr>
          <w:sz w:val="24"/>
        </w:rPr>
      </w:r>
    </w:p>
    <w:p>
      <w:pPr>
        <w:pStyle w:val="BodyText2"/>
        <w:rPr/>
      </w:pPr>
      <w:r>
        <w:rPr/>
        <w:tab/>
        <w:t>I hereby certify that a copy of the foregoing Motion has been served on the following parties of record by first class mail, postage prepaid, this 24 day of September, 2001.</w:t>
      </w:r>
    </w:p>
    <w:p>
      <w:pPr>
        <w:pStyle w:val="Normal"/>
        <w:spacing w:lineRule="auto" w:line="480"/>
        <w:rPr>
          <w:sz w:val="24"/>
        </w:rPr>
      </w:pPr>
      <w:r>
        <w:rPr>
          <w:sz w:val="24"/>
        </w:rPr>
      </w:r>
    </w:p>
    <w:p>
      <w:pPr>
        <w:pStyle w:val="Normal"/>
        <w:rPr>
          <w:sz w:val="24"/>
        </w:rPr>
      </w:pPr>
      <w:r>
        <w:rPr>
          <w:sz w:val="24"/>
        </w:rPr>
        <w:tab/>
        <w:tab/>
        <w:tab/>
        <w:tab/>
        <w:tab/>
        <w:tab/>
        <w:t>______________________________</w:t>
      </w:r>
    </w:p>
    <w:p>
      <w:pPr>
        <w:pStyle w:val="Normal"/>
        <w:rPr>
          <w:sz w:val="24"/>
        </w:rPr>
      </w:pPr>
      <w:r>
        <w:rPr>
          <w:sz w:val="24"/>
        </w:rPr>
        <w:tab/>
        <w:tab/>
        <w:tab/>
        <w:tab/>
        <w:tab/>
        <w:tab/>
        <w:t>Stephen M. Howard</w:t>
      </w:r>
    </w:p>
    <w:p>
      <w:pPr>
        <w:pStyle w:val="Normal"/>
        <w:rPr>
          <w:sz w:val="24"/>
        </w:rPr>
      </w:pPr>
      <w:r>
        <w:rPr>
          <w:sz w:val="24"/>
        </w:rPr>
      </w:r>
    </w:p>
    <w:p>
      <w:pPr>
        <w:pStyle w:val="Normal"/>
        <w:rPr>
          <w:sz w:val="24"/>
        </w:rPr>
      </w:pPr>
      <w:r>
        <w:rPr>
          <w:sz w:val="24"/>
        </w:rPr>
      </w:r>
    </w:p>
    <w:p>
      <w:pPr>
        <w:pStyle w:val="Heading3"/>
        <w:ind w:hanging="0" w:start="0"/>
        <w:rPr/>
      </w:pPr>
      <w:r>
        <w:rPr/>
        <w:t>PARTIES OF RECORD</w:t>
      </w:r>
    </w:p>
    <w:p>
      <w:pPr>
        <w:pStyle w:val="Normal"/>
        <w:jc w:val="center"/>
        <w:rPr>
          <w:sz w:val="24"/>
        </w:rPr>
      </w:pPr>
      <w:r>
        <w:rPr>
          <w:sz w:val="24"/>
        </w:rPr>
      </w:r>
    </w:p>
    <w:p>
      <w:pPr>
        <w:pStyle w:val="Heading4"/>
        <w:ind w:hanging="0" w:start="0"/>
        <w:rPr/>
      </w:pPr>
      <w:r>
        <w:rPr/>
        <w:t>Duane Lucky</w:t>
      </w:r>
    </w:p>
    <w:p>
      <w:pPr>
        <w:pStyle w:val="Heading4"/>
        <w:ind w:hanging="0" w:start="0"/>
        <w:rPr/>
      </w:pPr>
      <w:r>
        <w:rPr/>
        <w:t>Attorney General</w:t>
      </w:r>
    </w:p>
    <w:p>
      <w:pPr>
        <w:pStyle w:val="Heading4"/>
        <w:ind w:hanging="0" w:start="0"/>
        <w:rPr/>
      </w:pPr>
      <w:r>
        <w:rPr/>
        <w:t>Public Utilities Commission of Ohio</w:t>
      </w:r>
    </w:p>
    <w:p>
      <w:pPr>
        <w:pStyle w:val="Normal"/>
        <w:rPr>
          <w:sz w:val="24"/>
        </w:rPr>
      </w:pPr>
      <w:r>
        <w:rPr>
          <w:sz w:val="24"/>
        </w:rPr>
        <w:t>180 East Broad Street</w:t>
      </w:r>
    </w:p>
    <w:p>
      <w:pPr>
        <w:pStyle w:val="Normal"/>
        <w:rPr>
          <w:sz w:val="24"/>
        </w:rPr>
      </w:pPr>
      <w:r>
        <w:rPr>
          <w:sz w:val="24"/>
        </w:rPr>
        <w:t>Columbus, OH 43215</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upperRoman"/>
      <w:lvlText w:val="%1."/>
      <w:lvlJc w:val="start"/>
      <w:pPr>
        <w:tabs>
          <w:tab w:val="num" w:pos="1080"/>
        </w:tabs>
        <w:ind w:start="1080" w:hanging="720"/>
      </w:pPr>
      <w:rPr>
        <w:u w:val="none"/>
      </w:rPr>
    </w:lvl>
    <w:lvl w:ilvl="1">
      <w:start w:val="1"/>
      <w:numFmt w:val="lowerLetter"/>
      <w:lvlText w:val="%2."/>
      <w:lvlJc w:val="start"/>
      <w:pPr>
        <w:tabs>
          <w:tab w:val="num" w:pos="1440"/>
        </w:tabs>
        <w:ind w:start="1440" w:hanging="360"/>
      </w:pPr>
    </w:lvl>
    <w:lvl w:ilvl="2">
      <w:start w:val="1"/>
      <w:numFmt w:val="lowerRoman"/>
      <w:lvlText w:val="%3."/>
      <w:lvlJc w:val="end"/>
      <w:pPr>
        <w:tabs>
          <w:tab w:val="num" w:pos="2160"/>
        </w:tabs>
        <w:ind w:start="2160" w:hanging="180"/>
      </w:pPr>
    </w:lvl>
    <w:lvl w:ilvl="3">
      <w:start w:val="1"/>
      <w:numFmt w:val="decimal"/>
      <w:lvlText w:val="%4."/>
      <w:lvlJc w:val="start"/>
      <w:pPr>
        <w:tabs>
          <w:tab w:val="num" w:pos="2880"/>
        </w:tabs>
        <w:ind w:start="2880" w:hanging="360"/>
      </w:pPr>
    </w:lvl>
    <w:lvl w:ilvl="4">
      <w:start w:val="1"/>
      <w:numFmt w:val="lowerLetter"/>
      <w:lvlText w:val="%5."/>
      <w:lvlJc w:val="start"/>
      <w:pPr>
        <w:tabs>
          <w:tab w:val="num" w:pos="3600"/>
        </w:tabs>
        <w:ind w:start="3600" w:hanging="360"/>
      </w:pPr>
    </w:lvl>
    <w:lvl w:ilvl="5">
      <w:start w:val="1"/>
      <w:numFmt w:val="lowerRoman"/>
      <w:lvlText w:val="%6."/>
      <w:lvlJc w:val="end"/>
      <w:pPr>
        <w:tabs>
          <w:tab w:val="num" w:pos="4320"/>
        </w:tabs>
        <w:ind w:start="4320" w:hanging="180"/>
      </w:pPr>
    </w:lvl>
    <w:lvl w:ilvl="6">
      <w:start w:val="1"/>
      <w:numFmt w:val="decimal"/>
      <w:lvlText w:val="%7."/>
      <w:lvlJc w:val="start"/>
      <w:pPr>
        <w:tabs>
          <w:tab w:val="num" w:pos="5040"/>
        </w:tabs>
        <w:ind w:start="5040" w:hanging="360"/>
      </w:pPr>
    </w:lvl>
    <w:lvl w:ilvl="7">
      <w:start w:val="1"/>
      <w:numFmt w:val="lowerLetter"/>
      <w:lvlText w:val="%8."/>
      <w:lvlJc w:val="start"/>
      <w:pPr>
        <w:tabs>
          <w:tab w:val="num" w:pos="5760"/>
        </w:tabs>
        <w:ind w:start="5760" w:hanging="360"/>
      </w:pPr>
    </w:lvl>
    <w:lvl w:ilvl="8">
      <w:start w:val="1"/>
      <w:numFmt w:val="lowerRoman"/>
      <w:lvlText w:val="%9."/>
      <w:lvlJc w:val="end"/>
      <w:pPr>
        <w:tabs>
          <w:tab w:val="num" w:pos="6480"/>
        </w:tabs>
        <w:ind w:start="6480" w:hanging="180"/>
      </w:pPr>
    </w:lvl>
  </w:abstractNum>
  <w:num w:numId="1">
    <w:abstractNumId w:val="1"/>
  </w:num>
  <w:num w:numId="2">
    <w:abstractNumId w:val="2"/>
  </w:num>
</w:numbering>
</file>

<file path=word/settings.xml><?xml version="1.0" encoding="utf-8"?>
<w:settings xmlns:w="http://schemas.openxmlformats.org/wordprocessingml/2006/main">
  <w:zoom w:percent="13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jc w:val="center"/>
      <w:outlineLvl w:val="0"/>
    </w:pPr>
    <w:rPr>
      <w:b/>
      <w:sz w:val="24"/>
    </w:rPr>
  </w:style>
  <w:style w:type="paragraph" w:styleId="Heading2">
    <w:name w:val="heading 2"/>
    <w:basedOn w:val="Normal"/>
    <w:next w:val="Normal"/>
    <w:qFormat/>
    <w:pPr>
      <w:keepNext w:val="true"/>
      <w:numPr>
        <w:ilvl w:val="0"/>
        <w:numId w:val="2"/>
      </w:numPr>
      <w:outlineLvl w:val="1"/>
    </w:pPr>
    <w:rPr>
      <w:b/>
      <w:sz w:val="24"/>
      <w:u w:val="single"/>
    </w:rPr>
  </w:style>
  <w:style w:type="paragraph" w:styleId="Heading3">
    <w:name w:val="heading 3"/>
    <w:basedOn w:val="Normal"/>
    <w:next w:val="Normal"/>
    <w:qFormat/>
    <w:pPr>
      <w:keepNext w:val="true"/>
      <w:numPr>
        <w:ilvl w:val="2"/>
        <w:numId w:val="1"/>
      </w:numPr>
      <w:jc w:val="center"/>
      <w:outlineLvl w:val="2"/>
    </w:pPr>
    <w:rPr>
      <w:sz w:val="24"/>
    </w:rPr>
  </w:style>
  <w:style w:type="paragraph" w:styleId="Heading4">
    <w:name w:val="heading 4"/>
    <w:basedOn w:val="Normal"/>
    <w:next w:val="Normal"/>
    <w:qFormat/>
    <w:pPr>
      <w:keepNext w:val="true"/>
      <w:numPr>
        <w:ilvl w:val="3"/>
        <w:numId w:val="1"/>
      </w:numPr>
      <w:outlineLvl w:val="3"/>
    </w:pPr>
    <w:rPr>
      <w:sz w:val="24"/>
    </w:rPr>
  </w:style>
  <w:style w:type="character" w:styleId="WW8Num1z0">
    <w:name w:val="WW8Num1z0"/>
    <w:qFormat/>
    <w:rPr>
      <w:u w:val="none"/>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b/>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ind w:hanging="0" w:start="360" w:end="0"/>
    </w:pPr>
    <w:rPr>
      <w:sz w:val="24"/>
    </w:rPr>
  </w:style>
  <w:style w:type="paragraph" w:styleId="BodyText2">
    <w:name w:val="Body Text 2"/>
    <w:basedOn w:val="Normal"/>
    <w:qFormat/>
    <w:pPr>
      <w:spacing w:lineRule="auto" w:line="480"/>
    </w:pPr>
    <w:rPr>
      <w:sz w:val="24"/>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27</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2001-09-24T16:16:00Z</dcterms:created>
  <dc:creator>Howard Petricoff</dc:creator>
  <dc:description/>
  <dc:language>en-CA</dc:language>
  <cp:lastModifiedBy>lknight</cp:lastModifiedBy>
  <cp:lastPrinted>2001-09-24T15:14:00Z</cp:lastPrinted>
  <dcterms:modified xsi:type="dcterms:W3CDTF">2001-09-24T16:44:00Z</dcterms:modified>
  <cp:revision>3</cp:revision>
  <dc:subject/>
  <dc:title>Case Heading – In the Matter of the Application of Enron Energy Services for a Waiver of PUCO Rule 4901 :1-21-11(C) </dc:title>
</cp:coreProperties>
</file>