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b w:val="false"/>
        </w:rPr>
      </w:pPr>
      <w:r>
        <w:rPr/>
        <w:t>Political and Risk Assessment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Colombia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29 November 1999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137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71"/>
        <w:gridCol w:w="6945"/>
      </w:tblGrid>
      <w:tr>
        <w:trPr/>
        <w:tc>
          <w:tcPr>
            <w:tcW w:w="6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THREAT / RISKS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High profile and more exposure of the company in Colombia.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Security risks associated with guerrilla, pramilitary, and organized crime organizations.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At the personal level risks include kidnap, extortion, threat to life.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At the company level attacks against company assets, including offices, vehicles, project sites, etc.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Political risks include more exposure and public scrutiny including media investigations, newsreports, congress hearings.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Legal risks include investigations involving the General Attorney's Office, the Procuraduria and Contraloria.  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b/>
                <w:sz w:val="24"/>
              </w:rPr>
            </w:pPr>
            <w:r>
              <w:rPr>
                <w:sz w:val="22"/>
              </w:rPr>
              <w:t>Foreign investment risks due to legal and political instability.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COUNTER-MEASURES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The least exposure possible in order to avoid confrontations with the media or with any of the political actors involved in this political scandal.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Do not avoid Media reporters, but limit your opinions to the technical aspects of the project.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Do not take party with any of the two sides involved in the political dispute.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Do not over react to the situation and follow the hearings in Congress as well as the investigations by Government Agencies.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Collaborate with the investigators when they request information.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Make Security Awareness a key issue for executives, managers and any company personnel in the country or travelling to the country.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Provide Security Awareness Training to all company personnel.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b/>
                <w:sz w:val="22"/>
              </w:rPr>
            </w:pPr>
            <w:r>
              <w:rPr>
                <w:sz w:val="22"/>
              </w:rPr>
              <w:t>Make a risk and vulnerability assessment of the company, including all project sites.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b/>
                <w:sz w:val="24"/>
              </w:rPr>
            </w:pPr>
            <w:r>
              <w:rPr>
                <w:sz w:val="22"/>
              </w:rPr>
              <w:t>Keep everyone informed of security procedures and policies, and instruct all personnel on Security and Risk Strategies in the country.</w:t>
            </w:r>
          </w:p>
        </w:tc>
      </w:tr>
      <w:tr>
        <w:trPr>
          <w:trHeight w:val="90" w:hRule="atLeast"/>
        </w:trPr>
        <w:tc>
          <w:tcPr>
            <w:tcW w:w="6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BUSSINESS PLAN /OPERATIONS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Suspend bidding on key projects in Colombia.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720" w:leader="none"/>
              </w:tabs>
              <w:ind w:hanging="360" w:start="720" w:end="0"/>
              <w:rPr>
                <w:b/>
                <w:sz w:val="24"/>
              </w:rPr>
            </w:pPr>
            <w:r>
              <w:rPr>
                <w:sz w:val="24"/>
              </w:rPr>
              <w:t>ISA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720" w:leader="none"/>
              </w:tabs>
              <w:ind w:hanging="360" w:start="720" w:end="0"/>
              <w:rPr>
                <w:b/>
                <w:sz w:val="24"/>
              </w:rPr>
            </w:pPr>
            <w:r>
              <w:rPr>
                <w:sz w:val="24"/>
              </w:rPr>
              <w:t>ISAGEN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720" w:leader="none"/>
              </w:tabs>
              <w:ind w:hanging="360" w:start="720" w:end="0"/>
              <w:rPr>
                <w:b/>
                <w:sz w:val="24"/>
              </w:rPr>
            </w:pPr>
            <w:r>
              <w:rPr>
                <w:sz w:val="24"/>
              </w:rPr>
              <w:t>Cartagena-Colon Pipeline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20" w:leader="none"/>
              </w:tabs>
              <w:ind w:hanging="360" w:start="720" w:end="0"/>
              <w:rPr>
                <w:b/>
                <w:sz w:val="24"/>
              </w:rPr>
            </w:pPr>
            <w:r>
              <w:rPr>
                <w:sz w:val="24"/>
              </w:rPr>
              <w:t>T.V. Cable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REASONS TO REMAIN - DEVELOP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numPr>
                <w:ilvl w:val="0"/>
                <w:numId w:val="8"/>
              </w:numPr>
              <w:rPr>
                <w:b/>
                <w:sz w:val="24"/>
              </w:rPr>
            </w:pPr>
            <w:r>
              <w:rPr>
                <w:sz w:val="24"/>
              </w:rPr>
              <w:t>Long term investments in the energy provision sector.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b/>
                <w:sz w:val="24"/>
              </w:rPr>
            </w:pPr>
            <w:r>
              <w:rPr>
                <w:sz w:val="24"/>
              </w:rPr>
              <w:t>Peace Process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b/>
                <w:sz w:val="24"/>
              </w:rPr>
            </w:pPr>
            <w:r>
              <w:rPr>
                <w:sz w:val="24"/>
              </w:rPr>
              <w:t>New incentives from the Colombian Government in the Energy and Oil Sectors.</w:t>
            </w:r>
          </w:p>
        </w:tc>
      </w:tr>
      <w:tr>
        <w:trPr/>
        <w:tc>
          <w:tcPr>
            <w:tcW w:w="6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CO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08" w:start="4248" w:end="0"/>
      <w:outlineLvl w:val="0"/>
    </w:pPr>
    <w:rPr>
      <w:b/>
      <w:sz w:val="28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1999-11-27T15:13:00Z</dcterms:created>
  <dc:creator>Steven Nestel</dc:creator>
  <dc:description/>
  <dc:language>en-CA</dc:language>
  <cp:lastModifiedBy>Mark D. Carlson</cp:lastModifiedBy>
  <cp:lastPrinted>1999-12-03T12:30:00Z</cp:lastPrinted>
  <dcterms:modified xsi:type="dcterms:W3CDTF">1999-12-03T15:19:00Z</dcterms:modified>
  <cp:revision>3</cp:revision>
  <dc:subject/>
  <dc:title>THREAT / RISKS</dc:title>
</cp:coreProperties>
</file>