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bCs/>
          <w:color w:val="000000"/>
          <w:sz w:val="28"/>
          <w:szCs w:val="20"/>
        </w:rPr>
      </w:pPr>
      <w:r>
        <w:rPr>
          <w:rFonts w:cs="Times New Roman" w:ascii="Times New Roman" w:hAnsi="Times New Roman"/>
          <w:b/>
          <w:bCs/>
          <w:color w:val="000000"/>
          <w:sz w:val="28"/>
          <w:szCs w:val="20"/>
        </w:rPr>
        <w:t>ENRON NORTH AMERICA CORP.’S (“ENRON”) RESPONSE TO BRIDGELINE ISSUE DISCUSSION</w:t>
      </w:r>
    </w:p>
    <w:p>
      <w:pPr>
        <w:pStyle w:val="Heading1"/>
        <w:ind w:hanging="0" w:start="0"/>
        <w:jc w:val="both"/>
        <w:rPr>
          <w:rFonts w:ascii="Times New Roman" w:hAnsi="Times New Roman" w:cs="Times New Roman"/>
          <w:b/>
          <w:bCs/>
          <w:color w:val="000000"/>
          <w:sz w:val="20"/>
          <w:szCs w:val="20"/>
        </w:rPr>
      </w:pPr>
      <w:r>
        <w:rPr>
          <w:rFonts w:cs="Times New Roman" w:ascii="Times New Roman" w:hAnsi="Times New Roman"/>
          <w:b/>
          <w:bCs/>
          <w:color w:val="000000"/>
          <w:sz w:val="20"/>
          <w:szCs w:val="20"/>
        </w:rPr>
      </w:r>
    </w:p>
    <w:p>
      <w:pPr>
        <w:pStyle w:val="Normal"/>
        <w:rPr>
          <w:rFonts w:ascii="Times New Roman" w:hAnsi="Times New Roman" w:cs="Times New Roman"/>
          <w:b/>
          <w:bCs/>
          <w:color w:val="000000"/>
          <w:sz w:val="20"/>
          <w:szCs w:val="20"/>
        </w:rPr>
      </w:pPr>
      <w:r>
        <w:rPr>
          <w:rFonts w:cs="Times New Roman"/>
          <w:b/>
          <w:bCs/>
          <w:color w:val="000000"/>
          <w:sz w:val="20"/>
          <w:szCs w:val="20"/>
        </w:rPr>
      </w:r>
    </w:p>
    <w:p>
      <w:pPr>
        <w:pStyle w:val="Heading9"/>
        <w:ind w:hanging="0" w:start="0"/>
        <w:rPr/>
      </w:pPr>
      <w:r>
        <w:rPr/>
        <w:t>CRAWFISH PLANT</w:t>
      </w:r>
    </w:p>
    <w:p>
      <w:pPr>
        <w:pStyle w:val="Normal"/>
        <w:rPr/>
      </w:pPr>
      <w:r>
        <w:rPr/>
      </w:r>
    </w:p>
    <w:p>
      <w:pPr>
        <w:pStyle w:val="Normal"/>
        <w:ind w:hanging="720" w:start="720" w:end="0"/>
        <w:rPr>
          <w:b/>
          <w:bCs/>
          <w:i/>
          <w:i/>
          <w:iCs/>
          <w:u w:val="single"/>
        </w:rPr>
      </w:pPr>
      <w:r>
        <w:rPr>
          <w:b/>
          <w:bCs/>
          <w:i/>
          <w:iCs/>
          <w:u w:val="single"/>
        </w:rPr>
        <w:t xml:space="preserve">Bridgeline Issue: </w:t>
      </w:r>
    </w:p>
    <w:p>
      <w:pPr>
        <w:pStyle w:val="Normal"/>
        <w:ind w:hanging="720" w:start="720" w:end="0"/>
        <w:rPr>
          <w:b/>
          <w:bCs/>
          <w:i/>
          <w:i/>
          <w:iCs/>
          <w:u w:val="single"/>
        </w:rPr>
      </w:pPr>
      <w:r>
        <w:rPr>
          <w:b/>
          <w:bCs/>
          <w:i/>
          <w:iCs/>
          <w:u w:val="single"/>
        </w:rPr>
      </w:r>
    </w:p>
    <w:p>
      <w:pPr>
        <w:pStyle w:val="Normal"/>
        <w:ind w:hanging="720" w:start="720" w:end="0"/>
        <w:rPr>
          <w:i/>
          <w:i/>
          <w:iCs/>
        </w:rPr>
      </w:pPr>
      <w:r>
        <w:rPr>
          <w:i/>
          <w:iCs/>
        </w:rPr>
        <w:t>1.</w:t>
        <w:tab/>
        <w:t>The following documents need to be created but were not completed at the time of the merger:</w:t>
      </w:r>
    </w:p>
    <w:p>
      <w:pPr>
        <w:pStyle w:val="Normal"/>
        <w:ind w:hanging="720" w:start="720" w:end="0"/>
        <w:rPr>
          <w:i/>
          <w:i/>
          <w:iCs/>
        </w:rPr>
      </w:pPr>
      <w:r>
        <w:rPr>
          <w:i/>
          <w:iCs/>
        </w:rPr>
      </w:r>
    </w:p>
    <w:p>
      <w:pPr>
        <w:pStyle w:val="Normal"/>
        <w:numPr>
          <w:ilvl w:val="0"/>
          <w:numId w:val="2"/>
        </w:numPr>
        <w:tabs>
          <w:tab w:val="clear" w:pos="720"/>
          <w:tab w:val="left" w:pos="1440" w:leader="none"/>
        </w:tabs>
        <w:ind w:hanging="720" w:start="1440" w:end="0"/>
        <w:rPr>
          <w:i/>
          <w:i/>
          <w:iCs/>
        </w:rPr>
      </w:pPr>
      <w:r>
        <w:rPr>
          <w:i/>
          <w:iCs/>
        </w:rPr>
        <w:t>Surface Easement for V-13 separator and inlet meter</w:t>
      </w:r>
    </w:p>
    <w:p>
      <w:pPr>
        <w:pStyle w:val="Normal"/>
        <w:numPr>
          <w:ilvl w:val="0"/>
          <w:numId w:val="2"/>
        </w:numPr>
        <w:tabs>
          <w:tab w:val="clear" w:pos="720"/>
          <w:tab w:val="left" w:pos="1440" w:leader="none"/>
        </w:tabs>
        <w:ind w:hanging="720" w:start="1440" w:end="0"/>
        <w:rPr>
          <w:i/>
          <w:i/>
          <w:iCs/>
        </w:rPr>
      </w:pPr>
      <w:r>
        <w:rPr>
          <w:i/>
          <w:iCs/>
        </w:rPr>
        <w:t>Surface Easement for BHLP scrubber and meter facilities</w:t>
      </w:r>
    </w:p>
    <w:p>
      <w:pPr>
        <w:pStyle w:val="Normal"/>
        <w:numPr>
          <w:ilvl w:val="0"/>
          <w:numId w:val="2"/>
        </w:numPr>
        <w:tabs>
          <w:tab w:val="clear" w:pos="720"/>
          <w:tab w:val="left" w:pos="1440" w:leader="none"/>
        </w:tabs>
        <w:ind w:hanging="720" w:start="1440" w:end="0"/>
        <w:rPr>
          <w:i/>
          <w:i/>
          <w:iCs/>
        </w:rPr>
      </w:pPr>
      <w:r>
        <w:rPr>
          <w:i/>
          <w:iCs/>
        </w:rPr>
        <w:t>ROW for pipelines</w:t>
      </w:r>
    </w:p>
    <w:p>
      <w:pPr>
        <w:pStyle w:val="Normal"/>
        <w:numPr>
          <w:ilvl w:val="0"/>
          <w:numId w:val="2"/>
        </w:numPr>
        <w:tabs>
          <w:tab w:val="clear" w:pos="720"/>
          <w:tab w:val="left" w:pos="1440" w:leader="none"/>
        </w:tabs>
        <w:ind w:hanging="720" w:start="1440" w:end="0"/>
        <w:rPr>
          <w:i/>
          <w:i/>
          <w:iCs/>
        </w:rPr>
      </w:pPr>
      <w:r>
        <w:rPr>
          <w:i/>
          <w:iCs/>
        </w:rPr>
        <w:t>Ingress/Egress on road</w:t>
      </w:r>
    </w:p>
    <w:p>
      <w:pPr>
        <w:pStyle w:val="Normal"/>
        <w:rPr>
          <w:i/>
          <w:i/>
          <w:iCs/>
        </w:rPr>
      </w:pPr>
      <w:r>
        <w:rPr>
          <w:i/>
          <w:iCs/>
        </w:rPr>
      </w:r>
    </w:p>
    <w:p>
      <w:pPr>
        <w:pStyle w:val="Normal"/>
        <w:ind w:hanging="720" w:start="720" w:end="0"/>
        <w:rPr>
          <w:i/>
          <w:i/>
          <w:iCs/>
        </w:rPr>
      </w:pPr>
      <w:r>
        <w:rPr>
          <w:i/>
          <w:iCs/>
        </w:rPr>
        <w:t>2.</w:t>
        <w:tab/>
        <w:t>Enron idled the Crawfish Gas Processing Plant and has requested that BHLP remove the LRP System components so that Enron can dis-assemble to Crawfish Processing Plant and clear the land for sale.</w:t>
      </w:r>
    </w:p>
    <w:p>
      <w:pPr>
        <w:pStyle w:val="Normal"/>
        <w:ind w:hanging="720" w:start="720" w:end="0"/>
        <w:rPr>
          <w:i/>
          <w:i/>
          <w:iCs/>
        </w:rPr>
      </w:pPr>
      <w:r>
        <w:rPr>
          <w:i/>
          <w:iCs/>
        </w:rPr>
      </w:r>
    </w:p>
    <w:p>
      <w:pPr>
        <w:pStyle w:val="Normal"/>
        <w:ind w:hanging="720" w:start="720" w:end="0"/>
        <w:rPr>
          <w:i/>
          <w:i/>
          <w:iCs/>
        </w:rPr>
      </w:pPr>
      <w:r>
        <w:rPr>
          <w:i/>
          <w:iCs/>
        </w:rPr>
        <w:t>3.</w:t>
        <w:tab/>
        <w:t>BHLP will install the atmospheric tanks at our expense.  Enron should remove the equipment at their expense.  BHLP will secure the gas and liquid lines before any removal begins.</w:t>
      </w:r>
    </w:p>
    <w:p>
      <w:pPr>
        <w:pStyle w:val="Normal"/>
        <w:ind w:hanging="720" w:start="720" w:end="0"/>
        <w:rPr>
          <w:i/>
          <w:i/>
          <w:iCs/>
        </w:rPr>
      </w:pPr>
      <w:r>
        <w:rPr>
          <w:i/>
          <w:iCs/>
        </w:rPr>
      </w:r>
    </w:p>
    <w:p>
      <w:pPr>
        <w:pStyle w:val="Normal"/>
        <w:ind w:hanging="720" w:start="720" w:end="0"/>
        <w:rPr>
          <w:b/>
          <w:bCs/>
          <w:i/>
          <w:i/>
          <w:iCs/>
          <w:u w:val="single"/>
        </w:rPr>
      </w:pPr>
      <w:r>
        <w:rPr>
          <w:b/>
          <w:bCs/>
          <w:i/>
          <w:iCs/>
          <w:u w:val="single"/>
        </w:rPr>
        <w:t xml:space="preserve">Bridgeline Position: </w:t>
      </w:r>
    </w:p>
    <w:p>
      <w:pPr>
        <w:pStyle w:val="Normal"/>
        <w:ind w:hanging="720" w:start="720" w:end="0"/>
        <w:rPr>
          <w:b/>
          <w:bCs/>
          <w:i/>
          <w:i/>
          <w:iCs/>
          <w:u w:val="single"/>
        </w:rPr>
      </w:pPr>
      <w:r>
        <w:rPr>
          <w:b/>
          <w:bCs/>
          <w:i/>
          <w:iCs/>
          <w:u w:val="single"/>
        </w:rPr>
      </w:r>
    </w:p>
    <w:p>
      <w:pPr>
        <w:pStyle w:val="Normal"/>
        <w:ind w:hanging="720" w:start="720" w:end="0"/>
        <w:rPr>
          <w:i/>
          <w:i/>
          <w:iCs/>
        </w:rPr>
      </w:pPr>
      <w:r>
        <w:rPr>
          <w:i/>
          <w:iCs/>
        </w:rPr>
        <w:t>1.</w:t>
        <w:tab/>
        <w:t>The Contribution Agreement provided for BHLP to operate these facilities as is.  The costs for moving the LRP System components are a result of Enron’s decision to idle the Crawfish Gas Processing Plant, so BHLP should not bear the incremental costs to move the LRP System components.</w:t>
      </w:r>
    </w:p>
    <w:p>
      <w:pPr>
        <w:pStyle w:val="Normal"/>
        <w:ind w:hanging="720" w:start="720" w:end="0"/>
        <w:rPr>
          <w:i/>
          <w:i/>
          <w:iCs/>
        </w:rPr>
      </w:pPr>
      <w:r>
        <w:rPr>
          <w:i/>
          <w:iCs/>
        </w:rPr>
      </w:r>
    </w:p>
    <w:p>
      <w:pPr>
        <w:pStyle w:val="Normal"/>
        <w:ind w:hanging="720" w:start="720" w:end="0"/>
        <w:rPr>
          <w:i/>
          <w:i/>
          <w:iCs/>
        </w:rPr>
      </w:pPr>
      <w:r>
        <w:rPr>
          <w:i/>
          <w:iCs/>
        </w:rPr>
        <w:t>2.</w:t>
        <w:tab/>
        <w:t>BHLP saved Enron a significant amount of expense by waiving the 30-day written notice to expedite the process of idling the Crawfish Gas Processing Plant</w:t>
      </w:r>
    </w:p>
    <w:p>
      <w:pPr>
        <w:pStyle w:val="Normal"/>
        <w:ind w:hanging="720" w:start="720" w:end="0"/>
        <w:rPr>
          <w:i/>
          <w:i/>
          <w:iCs/>
        </w:rPr>
      </w:pPr>
      <w:r>
        <w:rPr>
          <w:i/>
          <w:iCs/>
        </w:rPr>
      </w:r>
    </w:p>
    <w:p>
      <w:pPr>
        <w:pStyle w:val="Normal"/>
        <w:ind w:hanging="720" w:start="720" w:end="0"/>
        <w:rPr/>
      </w:pPr>
      <w:r>
        <w:rPr/>
      </w:r>
    </w:p>
    <w:p>
      <w:pPr>
        <w:pStyle w:val="Normal"/>
        <w:rPr>
          <w:b/>
          <w:bCs/>
          <w:color w:val="0000FF"/>
          <w:u w:val="single"/>
        </w:rPr>
      </w:pPr>
      <w:r>
        <w:rPr>
          <w:b/>
          <w:bCs/>
          <w:color w:val="0000FF"/>
          <w:u w:val="single"/>
        </w:rPr>
        <w:t>Enron Position:</w:t>
      </w:r>
    </w:p>
    <w:p>
      <w:pPr>
        <w:pStyle w:val="Normal"/>
        <w:rPr>
          <w:b/>
          <w:bCs/>
          <w:color w:val="0000FF"/>
          <w:u w:val="single"/>
        </w:rPr>
      </w:pPr>
      <w:r>
        <w:rPr>
          <w:b/>
          <w:bCs/>
          <w:color w:val="0000FF"/>
          <w:u w:val="single"/>
        </w:rPr>
      </w:r>
    </w:p>
    <w:p>
      <w:pPr>
        <w:pStyle w:val="Normal"/>
        <w:ind w:start="360" w:end="0"/>
        <w:jc w:val="both"/>
        <w:rPr>
          <w:b/>
          <w:bCs/>
          <w:color w:val="0000FF"/>
        </w:rPr>
      </w:pPr>
      <w:r>
        <w:rPr>
          <w:b/>
          <w:bCs/>
          <w:color w:val="0000FF"/>
        </w:rPr>
        <w:t>Enron will provide the easements necessary for BHLP to operate its facilities.  The form of surface easement was previously provided to Bridgeline and has not been executed.  Enron will resubmit the forms via Pat Johnson.  Enron needs survey information on the necessary ROW’s for the pipelines.  Enron will bear the reasonable cost to associated with dis-assembling the BHLP piping connected to the Crawfish Plant as required to remove the Crawfish Plant Equipment.</w:t>
      </w:r>
    </w:p>
    <w:p>
      <w:pPr>
        <w:pStyle w:val="Normal"/>
        <w:rPr>
          <w:b/>
          <w:bCs/>
          <w:color w:val="0000FF"/>
        </w:rPr>
      </w:pPr>
      <w:r>
        <w:rPr>
          <w:b/>
          <w:bCs/>
          <w:color w:val="0000FF"/>
        </w:rPr>
      </w:r>
    </w:p>
    <w:p>
      <w:pPr>
        <w:pStyle w:val="Normal"/>
        <w:rPr/>
      </w:pPr>
      <w:r>
        <w:rPr/>
      </w:r>
    </w:p>
    <w:p>
      <w:pPr>
        <w:pStyle w:val="Normal"/>
        <w:rPr>
          <w:b/>
          <w:bCs/>
        </w:rPr>
      </w:pPr>
      <w:r>
        <w:rPr>
          <w:b/>
          <w:bCs/>
        </w:rPr>
        <w:t>NAPOLEANVILLE STORAGE:</w:t>
      </w:r>
    </w:p>
    <w:p>
      <w:pPr>
        <w:pStyle w:val="Normal"/>
        <w:rPr>
          <w:b/>
          <w:bCs/>
        </w:rPr>
      </w:pPr>
      <w:r>
        <w:rPr>
          <w:b/>
          <w:bCs/>
        </w:rPr>
      </w:r>
    </w:p>
    <w:p>
      <w:pPr>
        <w:pStyle w:val="Normal"/>
        <w:rPr>
          <w:b/>
          <w:bCs/>
          <w:i/>
          <w:i/>
          <w:iCs/>
          <w:u w:val="single"/>
        </w:rPr>
      </w:pPr>
      <w:r>
        <w:rPr>
          <w:b/>
          <w:bCs/>
          <w:i/>
          <w:iCs/>
          <w:u w:val="single"/>
        </w:rPr>
        <w:t>Bridgeline Comments:</w:t>
      </w:r>
    </w:p>
    <w:p>
      <w:pPr>
        <w:pStyle w:val="Normal"/>
        <w:rPr>
          <w:b/>
          <w:bCs/>
          <w:i/>
          <w:i/>
          <w:iCs/>
          <w:u w:val="single"/>
        </w:rPr>
      </w:pPr>
      <w:r>
        <w:rPr>
          <w:b/>
          <w:bCs/>
          <w:i/>
          <w:iCs/>
          <w:u w:val="single"/>
        </w:rPr>
      </w:r>
    </w:p>
    <w:p>
      <w:pPr>
        <w:pStyle w:val="Normal"/>
        <w:ind w:hanging="720" w:start="720" w:end="0"/>
        <w:rPr>
          <w:i/>
          <w:i/>
          <w:iCs/>
        </w:rPr>
      </w:pPr>
      <w:r>
        <w:rPr>
          <w:i/>
          <w:iCs/>
        </w:rPr>
        <w:t>1.</w:t>
        <w:tab/>
        <w:t>Enron’s responsibility to pay the capital costs to install the 8”/12” dewatering pipeline and to debottle-neck the filter separator.  Both parties agree that Enron is responsible for reimbursing BHLP for the capital to install the 24” inside the compressor station.</w:t>
      </w:r>
    </w:p>
    <w:p>
      <w:pPr>
        <w:pStyle w:val="Normal"/>
        <w:rPr>
          <w:rFonts w:ascii="Arial" w:hAnsi="Arial" w:cs="Arial"/>
          <w:i/>
          <w:i/>
          <w:iCs/>
          <w:sz w:val="20"/>
        </w:rPr>
      </w:pPr>
      <w:r>
        <w:rPr>
          <w:rFonts w:cs="Arial" w:ascii="Arial" w:hAnsi="Arial"/>
          <w:i/>
          <w:iCs/>
          <w:sz w:val="20"/>
        </w:rPr>
      </w:r>
    </w:p>
    <w:p>
      <w:pPr>
        <w:pStyle w:val="Normal"/>
        <w:rPr/>
      </w:pPr>
      <w:r>
        <w:rPr>
          <w:rFonts w:cs="Arial" w:ascii="Arial" w:hAnsi="Arial"/>
          <w:i/>
          <w:iCs/>
          <w:sz w:val="20"/>
        </w:rPr>
        <w:tab/>
        <w:tab/>
      </w:r>
      <w:r>
        <w:rPr>
          <w:i/>
          <w:iCs/>
        </w:rPr>
        <w:t>24” Pipeline</w:t>
        <w:tab/>
        <w:tab/>
        <w:t>$328,000</w:t>
      </w:r>
    </w:p>
    <w:p>
      <w:pPr>
        <w:pStyle w:val="Heading7"/>
        <w:ind w:hanging="0" w:start="0"/>
        <w:rPr/>
      </w:pPr>
      <w:r>
        <w:rPr/>
        <w:tab/>
        <w:tab/>
        <w:t>Filter Separator</w:t>
        <w:tab/>
        <w:t>$180,000</w:t>
      </w:r>
    </w:p>
    <w:p>
      <w:pPr>
        <w:pStyle w:val="Normal"/>
        <w:rPr>
          <w:i/>
          <w:i/>
          <w:iCs/>
        </w:rPr>
      </w:pPr>
      <w:r>
        <w:rPr>
          <w:i/>
          <w:iCs/>
        </w:rPr>
        <w:tab/>
        <w:tab/>
        <w:t>Dewatering pipeline</w:t>
        <w:tab/>
      </w:r>
      <w:r>
        <w:rPr>
          <w:i/>
          <w:iCs/>
          <w:u w:val="single"/>
        </w:rPr>
        <w:t>$223,000</w:t>
      </w:r>
    </w:p>
    <w:p>
      <w:pPr>
        <w:pStyle w:val="Normal"/>
        <w:rPr>
          <w:i/>
          <w:i/>
          <w:iCs/>
        </w:rPr>
      </w:pPr>
      <w:r>
        <w:rPr>
          <w:i/>
          <w:iCs/>
        </w:rPr>
        <w:tab/>
        <w:tab/>
        <w:tab/>
        <w:tab/>
        <w:tab/>
        <w:t>$731,000</w:t>
      </w:r>
    </w:p>
    <w:p>
      <w:pPr>
        <w:pStyle w:val="Normal"/>
        <w:rPr>
          <w:i/>
          <w:i/>
          <w:iCs/>
        </w:rPr>
      </w:pPr>
      <w:r>
        <w:rPr>
          <w:i/>
          <w:iCs/>
        </w:rPr>
      </w:r>
    </w:p>
    <w:p>
      <w:pPr>
        <w:pStyle w:val="Normal"/>
        <w:rPr>
          <w:i/>
          <w:i/>
          <w:iCs/>
        </w:rPr>
      </w:pPr>
      <w:r>
        <w:rPr>
          <w:b/>
          <w:bCs/>
          <w:i/>
          <w:iCs/>
          <w:u w:val="single"/>
        </w:rPr>
        <w:t>Bridgeline Position:</w:t>
      </w:r>
    </w:p>
    <w:p>
      <w:pPr>
        <w:pStyle w:val="Normal"/>
        <w:rPr>
          <w:rFonts w:ascii="Arial" w:hAnsi="Arial" w:cs="Arial"/>
          <w:i/>
          <w:i/>
          <w:iCs/>
          <w:sz w:val="20"/>
        </w:rPr>
      </w:pPr>
      <w:r>
        <w:rPr>
          <w:rFonts w:cs="Arial" w:ascii="Arial" w:hAnsi="Arial"/>
          <w:i/>
          <w:iCs/>
          <w:sz w:val="20"/>
        </w:rPr>
      </w:r>
    </w:p>
    <w:p>
      <w:pPr>
        <w:pStyle w:val="Normal"/>
        <w:ind w:hanging="720" w:start="720" w:end="0"/>
        <w:rPr>
          <w:i/>
          <w:i/>
          <w:iCs/>
        </w:rPr>
      </w:pPr>
      <w:r>
        <w:rPr>
          <w:i/>
          <w:iCs/>
        </w:rPr>
        <w:t>1.</w:t>
        <w:tab/>
        <w:t>Enron is responsible for reimbursing BHLP for $731,000 in the capital expenditures necessary to complete the Nville #1 cavern, the Filter Separator modification ($180,000) necessary to attain 600MM/D, and the 8”/12” Dewatering Pipeline ($223,000) needed to dewater the cavern within the time constraints.</w:t>
      </w:r>
    </w:p>
    <w:p>
      <w:pPr>
        <w:pStyle w:val="Normal"/>
        <w:ind w:hanging="720" w:start="720" w:end="0"/>
        <w:rPr>
          <w:i/>
          <w:i/>
          <w:iCs/>
        </w:rPr>
      </w:pPr>
      <w:r>
        <w:rPr>
          <w:i/>
          <w:iCs/>
        </w:rPr>
      </w:r>
    </w:p>
    <w:p>
      <w:pPr>
        <w:pStyle w:val="Normal"/>
        <w:ind w:hanging="720" w:start="720" w:end="0"/>
        <w:rPr>
          <w:i/>
          <w:i/>
          <w:iCs/>
        </w:rPr>
      </w:pPr>
      <w:r>
        <w:rPr>
          <w:i/>
          <w:iCs/>
        </w:rPr>
        <w:t>2.</w:t>
        <w:tab/>
        <w:t>In addition, Enron is responsible for the technical, legal, and operation aspects of converting the well to gas service and dewatering to 4Bcf of working gas.</w:t>
      </w:r>
    </w:p>
    <w:p>
      <w:pPr>
        <w:pStyle w:val="Normal"/>
        <w:ind w:hanging="1440" w:start="1440" w:end="0"/>
        <w:rPr>
          <w:i/>
          <w:i/>
          <w:iCs/>
        </w:rPr>
      </w:pPr>
      <w:r>
        <w:rPr>
          <w:i/>
          <w:iCs/>
        </w:rPr>
      </w:r>
    </w:p>
    <w:p>
      <w:pPr>
        <w:pStyle w:val="Normal"/>
        <w:ind w:hanging="720" w:start="720" w:end="0"/>
        <w:rPr>
          <w:i/>
          <w:i/>
          <w:iCs/>
        </w:rPr>
      </w:pPr>
      <w:r>
        <w:rPr>
          <w:i/>
          <w:iCs/>
        </w:rPr>
        <w:t>3.</w:t>
        <w:tab/>
        <w:t>Once the capital projects are completed, BHLP will operate the compression and related facilities to inject the gas, coordinate the purchase of the gas on the BHLP system, and continue the dewatering process beyond the 4Bcf point.</w:t>
      </w:r>
    </w:p>
    <w:p>
      <w:pPr>
        <w:pStyle w:val="Normal"/>
        <w:ind w:hanging="1440" w:start="1440" w:end="0"/>
        <w:rPr>
          <w:i/>
          <w:i/>
          <w:iCs/>
        </w:rPr>
      </w:pPr>
      <w:r>
        <w:rPr>
          <w:i/>
          <w:iCs/>
        </w:rPr>
      </w:r>
    </w:p>
    <w:p>
      <w:pPr>
        <w:pStyle w:val="Normal"/>
        <w:ind w:hanging="1440" w:start="1440" w:end="0"/>
        <w:rPr>
          <w:b/>
          <w:bCs/>
          <w:i/>
          <w:i/>
          <w:iCs/>
          <w:u w:val="single"/>
        </w:rPr>
      </w:pPr>
      <w:r>
        <w:rPr>
          <w:b/>
          <w:bCs/>
          <w:i/>
          <w:iCs/>
          <w:u w:val="single"/>
        </w:rPr>
        <w:t>Bridgeline Factors:</w:t>
      </w:r>
    </w:p>
    <w:p>
      <w:pPr>
        <w:pStyle w:val="Normal"/>
        <w:ind w:hanging="1440" w:start="1440" w:end="0"/>
        <w:rPr>
          <w:b/>
          <w:bCs/>
          <w:i/>
          <w:i/>
          <w:iCs/>
          <w:u w:val="single"/>
        </w:rPr>
      </w:pPr>
      <w:r>
        <w:rPr>
          <w:b/>
          <w:bCs/>
          <w:i/>
          <w:iCs/>
          <w:u w:val="single"/>
        </w:rPr>
      </w:r>
    </w:p>
    <w:p>
      <w:pPr>
        <w:pStyle w:val="Normal"/>
        <w:ind w:hanging="720" w:start="720" w:end="0"/>
        <w:rPr>
          <w:i/>
          <w:i/>
          <w:iCs/>
        </w:rPr>
      </w:pPr>
      <w:r>
        <w:rPr>
          <w:i/>
          <w:iCs/>
        </w:rPr>
        <w:t>1.</w:t>
        <w:tab/>
        <w:t>Enron and BHLP agreed to the scope and the associated costs for all three of these capital items.  Based on the contractual arrangement with Texaco E&amp;C, there is no cost risk to Enron.</w:t>
      </w:r>
    </w:p>
    <w:p>
      <w:pPr>
        <w:pStyle w:val="Normal"/>
        <w:ind w:hanging="1440" w:start="1440" w:end="0"/>
        <w:rPr>
          <w:i/>
          <w:i/>
          <w:iCs/>
        </w:rPr>
      </w:pPr>
      <w:r>
        <w:rPr>
          <w:i/>
          <w:iCs/>
        </w:rPr>
      </w:r>
    </w:p>
    <w:p>
      <w:pPr>
        <w:pStyle w:val="Normal"/>
        <w:numPr>
          <w:ilvl w:val="0"/>
          <w:numId w:val="3"/>
        </w:numPr>
        <w:rPr>
          <w:i/>
          <w:i/>
          <w:iCs/>
        </w:rPr>
      </w:pPr>
      <w:r>
        <w:rPr>
          <w:i/>
          <w:iCs/>
        </w:rPr>
        <w:t xml:space="preserve">Dewatering Pipeline:  </w:t>
      </w:r>
    </w:p>
    <w:p>
      <w:pPr>
        <w:pStyle w:val="Normal"/>
        <w:ind w:start="720" w:end="0"/>
        <w:rPr>
          <w:i/>
          <w:i/>
          <w:iCs/>
        </w:rPr>
      </w:pPr>
      <w:r>
        <w:rPr>
          <w:i/>
          <w:iCs/>
        </w:rPr>
      </w:r>
    </w:p>
    <w:p>
      <w:pPr>
        <w:pStyle w:val="Normal"/>
        <w:numPr>
          <w:ilvl w:val="1"/>
          <w:numId w:val="3"/>
        </w:numPr>
        <w:rPr>
          <w:i/>
          <w:i/>
          <w:iCs/>
        </w:rPr>
      </w:pPr>
      <w:r>
        <w:rPr>
          <w:i/>
          <w:iCs/>
        </w:rPr>
        <w:t>The dewatering pipeline is crucial to assure that the new cavern is dewatered to 7.85Bcf in 224 days…..110 days for 3.85Bcf Pad Gas and 114 days for 4Bcf Working Gas.</w:t>
      </w:r>
    </w:p>
    <w:p>
      <w:pPr>
        <w:pStyle w:val="Normal"/>
        <w:ind w:start="1440" w:end="0"/>
        <w:rPr>
          <w:i/>
          <w:i/>
          <w:iCs/>
        </w:rPr>
      </w:pPr>
      <w:r>
        <w:rPr>
          <w:i/>
          <w:iCs/>
        </w:rPr>
      </w:r>
    </w:p>
    <w:p>
      <w:pPr>
        <w:pStyle w:val="Normal"/>
        <w:numPr>
          <w:ilvl w:val="1"/>
          <w:numId w:val="3"/>
        </w:numPr>
        <w:rPr>
          <w:i/>
          <w:i/>
          <w:iCs/>
        </w:rPr>
      </w:pPr>
      <w:r>
        <w:rPr>
          <w:i/>
          <w:iCs/>
        </w:rPr>
        <w:t>If the dewatering pipeline is NOT installed, BHLP will only be able to dewater whenever the Dow caverns are idle (about 25% of the time).  The dewatering schedule would take 3-4 times longer than the 224 days that were planned and would not be completed before July 1, 2002.</w:t>
      </w:r>
    </w:p>
    <w:p>
      <w:pPr>
        <w:pStyle w:val="Normal"/>
        <w:ind w:start="1440" w:end="0"/>
        <w:rPr>
          <w:i/>
          <w:i/>
          <w:iCs/>
        </w:rPr>
      </w:pPr>
      <w:r>
        <w:rPr>
          <w:i/>
          <w:iCs/>
        </w:rPr>
      </w:r>
    </w:p>
    <w:p>
      <w:pPr>
        <w:pStyle w:val="Normal"/>
        <w:numPr>
          <w:ilvl w:val="1"/>
          <w:numId w:val="3"/>
        </w:numPr>
        <w:rPr>
          <w:i/>
          <w:i/>
          <w:iCs/>
        </w:rPr>
      </w:pPr>
      <w:r>
        <w:rPr>
          <w:i/>
          <w:iCs/>
        </w:rPr>
        <w:t>If 4Bcf isn’t achieved in Nville #1 within 224 days, Enron is responsible for paying the quarterly Dow lease payments.  The quarterly payments are $256,000 if there is less than 2Bcf of working gas, or $131,000 if there is more than 2Bcf of working gas.</w:t>
      </w:r>
    </w:p>
    <w:p>
      <w:pPr>
        <w:pStyle w:val="Normal"/>
        <w:ind w:hanging="2160" w:start="2160" w:end="0"/>
        <w:rPr>
          <w:i/>
          <w:i/>
          <w:iCs/>
        </w:rPr>
      </w:pPr>
      <w:r>
        <w:rPr>
          <w:i/>
          <w:iCs/>
        </w:rPr>
      </w:r>
    </w:p>
    <w:p>
      <w:pPr>
        <w:pStyle w:val="Normal"/>
        <w:numPr>
          <w:ilvl w:val="0"/>
          <w:numId w:val="3"/>
        </w:numPr>
        <w:rPr>
          <w:i/>
          <w:i/>
          <w:iCs/>
        </w:rPr>
      </w:pPr>
      <w:r>
        <w:rPr>
          <w:i/>
          <w:iCs/>
        </w:rPr>
        <w:t xml:space="preserve">Filter Separator Debottle-necking:  </w:t>
      </w:r>
    </w:p>
    <w:p>
      <w:pPr>
        <w:pStyle w:val="Normal"/>
        <w:ind w:start="720" w:end="0"/>
        <w:rPr>
          <w:i/>
          <w:i/>
          <w:iCs/>
        </w:rPr>
      </w:pPr>
      <w:r>
        <w:rPr>
          <w:i/>
          <w:iCs/>
        </w:rPr>
      </w:r>
    </w:p>
    <w:p>
      <w:pPr>
        <w:pStyle w:val="Normal"/>
        <w:numPr>
          <w:ilvl w:val="1"/>
          <w:numId w:val="3"/>
        </w:numPr>
        <w:rPr>
          <w:i/>
          <w:i/>
          <w:iCs/>
        </w:rPr>
      </w:pPr>
      <w:r>
        <w:rPr>
          <w:i/>
          <w:iCs/>
        </w:rPr>
        <w:t>During the negotiations, Enron provided documentation and repeatedly stated, that the existing equipment in the Nville station was capable of a withdrawal rate of 600MM/D is attainable.</w:t>
      </w:r>
    </w:p>
    <w:p>
      <w:pPr>
        <w:pStyle w:val="Normal"/>
        <w:numPr>
          <w:ilvl w:val="1"/>
          <w:numId w:val="3"/>
        </w:numPr>
        <w:rPr>
          <w:i/>
          <w:i/>
          <w:iCs/>
        </w:rPr>
      </w:pPr>
      <w:r>
        <w:rPr>
          <w:i/>
          <w:iCs/>
        </w:rPr>
        <w:t>A significant amount of earnings were based on the turn capability at Nville, using a withdrawal rate of 600MM/D.  If the rate is less, BHLP must spend the disputed capital or suffer lower storage value.</w:t>
      </w:r>
    </w:p>
    <w:p>
      <w:pPr>
        <w:pStyle w:val="Normal"/>
        <w:ind w:start="1440" w:end="0"/>
        <w:rPr>
          <w:i/>
          <w:i/>
          <w:iCs/>
        </w:rPr>
      </w:pPr>
      <w:r>
        <w:rPr>
          <w:i/>
          <w:iCs/>
        </w:rPr>
      </w:r>
    </w:p>
    <w:p>
      <w:pPr>
        <w:pStyle w:val="Normal"/>
        <w:ind w:hanging="720" w:start="720" w:end="0"/>
        <w:rPr>
          <w:i/>
          <w:i/>
          <w:iCs/>
        </w:rPr>
      </w:pPr>
      <w:r>
        <w:rPr>
          <w:i/>
          <w:iCs/>
        </w:rPr>
        <w:t>2.</w:t>
        <w:tab/>
        <w:t>Additional commitments in Dow Contract Amendment:</w:t>
      </w:r>
    </w:p>
    <w:p>
      <w:pPr>
        <w:pStyle w:val="Normal"/>
        <w:ind w:hanging="2880" w:start="2160" w:end="0"/>
        <w:rPr>
          <w:i/>
          <w:i/>
          <w:iCs/>
        </w:rPr>
      </w:pPr>
      <w:r>
        <w:rPr>
          <w:i/>
          <w:iCs/>
        </w:rPr>
      </w:r>
    </w:p>
    <w:p>
      <w:pPr>
        <w:pStyle w:val="Normal"/>
        <w:ind w:hanging="720" w:start="1440" w:end="0"/>
        <w:rPr>
          <w:i/>
          <w:i/>
          <w:iCs/>
        </w:rPr>
      </w:pPr>
      <w:r>
        <w:rPr>
          <w:i/>
          <w:iCs/>
        </w:rPr>
        <w:t>A.</w:t>
        <w:tab/>
        <w:t xml:space="preserve">ESC shall use reasonable best efforts to IMMEDIATELY begin removing the brine without interruption at an average rate of 200gpm.  </w:t>
      </w:r>
    </w:p>
    <w:p>
      <w:pPr>
        <w:pStyle w:val="Normal"/>
        <w:ind w:hanging="720" w:start="1440" w:end="0"/>
        <w:rPr>
          <w:i/>
          <w:i/>
          <w:iCs/>
        </w:rPr>
      </w:pPr>
      <w:r>
        <w:rPr>
          <w:i/>
          <w:iCs/>
        </w:rPr>
      </w:r>
    </w:p>
    <w:p>
      <w:pPr>
        <w:pStyle w:val="Normal"/>
        <w:numPr>
          <w:ilvl w:val="0"/>
          <w:numId w:val="4"/>
        </w:numPr>
        <w:rPr>
          <w:i/>
          <w:i/>
          <w:iCs/>
        </w:rPr>
      </w:pPr>
      <w:r>
        <w:rPr>
          <w:i/>
          <w:iCs/>
        </w:rPr>
        <w:t xml:space="preserve">BHLP must utilize the compression and associated facilities to conduct its ongoing business as well as dewater the new cavern.  </w:t>
      </w:r>
    </w:p>
    <w:p>
      <w:pPr>
        <w:pStyle w:val="Normal"/>
        <w:numPr>
          <w:ilvl w:val="0"/>
          <w:numId w:val="4"/>
        </w:numPr>
        <w:rPr>
          <w:i/>
          <w:i/>
          <w:iCs/>
        </w:rPr>
      </w:pPr>
      <w:r>
        <w:rPr>
          <w:i/>
          <w:iCs/>
        </w:rPr>
        <w:t>If the 8”/12” dewatering pipeline is NOT in place, there will certainly be interruptions.</w:t>
      </w:r>
    </w:p>
    <w:p>
      <w:pPr>
        <w:pStyle w:val="Normal"/>
        <w:ind w:start="720" w:end="0"/>
        <w:rPr>
          <w:i/>
          <w:i/>
          <w:iCs/>
        </w:rPr>
      </w:pPr>
      <w:r>
        <w:rPr>
          <w:i/>
          <w:iCs/>
        </w:rPr>
      </w:r>
    </w:p>
    <w:p>
      <w:pPr>
        <w:pStyle w:val="Normal"/>
        <w:ind w:hanging="720" w:start="1440" w:end="0"/>
        <w:rPr>
          <w:i/>
          <w:i/>
          <w:iCs/>
        </w:rPr>
      </w:pPr>
      <w:r>
        <w:rPr>
          <w:i/>
          <w:iCs/>
        </w:rPr>
        <w:t>B.</w:t>
        <w:tab/>
        <w:t>Once the dewatering begins, Enron agrees to remove 2Bcf from Dow #13/14 within 160 days and surrender the storage rights to Dow.</w:t>
      </w:r>
    </w:p>
    <w:p>
      <w:pPr>
        <w:pStyle w:val="Normal"/>
        <w:ind w:start="720" w:end="0"/>
        <w:rPr>
          <w:i/>
          <w:i/>
          <w:iCs/>
        </w:rPr>
      </w:pPr>
      <w:r>
        <w:rPr>
          <w:i/>
          <w:iCs/>
        </w:rPr>
      </w:r>
    </w:p>
    <w:p>
      <w:pPr>
        <w:pStyle w:val="Normal"/>
        <w:numPr>
          <w:ilvl w:val="0"/>
          <w:numId w:val="5"/>
        </w:numPr>
        <w:rPr>
          <w:i/>
          <w:i/>
          <w:iCs/>
        </w:rPr>
      </w:pPr>
      <w:r>
        <w:rPr>
          <w:i/>
          <w:iCs/>
        </w:rPr>
        <w:t xml:space="preserve">To maintain 4Bcf of working 5.85Bcf (Pad plus 2Bcf of working gas) must be removed from Nville #1 cavern, averaging 36.6MM/D.  BHLP must keep enough head on Nville #1 to physically remove the brine.  </w:t>
      </w:r>
    </w:p>
    <w:p>
      <w:pPr>
        <w:pStyle w:val="Normal"/>
        <w:numPr>
          <w:ilvl w:val="0"/>
          <w:numId w:val="5"/>
        </w:numPr>
        <w:rPr>
          <w:i/>
          <w:i/>
          <w:iCs/>
        </w:rPr>
      </w:pPr>
      <w:r>
        <w:rPr>
          <w:i/>
          <w:iCs/>
        </w:rPr>
        <w:t>If some of the working gas were removed, it would lower the head and stop the dewatering.  Therefore, NONE of the working gas is commercially available until all of the brine is removed.</w:t>
      </w:r>
    </w:p>
    <w:p>
      <w:pPr>
        <w:pStyle w:val="Normal"/>
        <w:ind w:start="540" w:end="0"/>
        <w:rPr>
          <w:i/>
          <w:i/>
          <w:iCs/>
        </w:rPr>
      </w:pPr>
      <w:r>
        <w:rPr>
          <w:i/>
          <w:iCs/>
        </w:rPr>
      </w:r>
    </w:p>
    <w:p>
      <w:pPr>
        <w:pStyle w:val="Normal"/>
        <w:ind w:hanging="720" w:start="1440" w:end="0"/>
        <w:rPr>
          <w:i/>
          <w:i/>
          <w:iCs/>
        </w:rPr>
      </w:pPr>
      <w:r>
        <w:rPr>
          <w:i/>
          <w:iCs/>
        </w:rPr>
        <w:t>C.</w:t>
        <w:tab/>
        <w:t>This a new constraint for BHLP and will compromise its ability to conduct ongoing business, especially without the dewatering pipeline.  Even with the dewatering pipeline, it will monopolize one of the existing compressors for 30-45 days until the new compressor is completed.</w:t>
      </w:r>
    </w:p>
    <w:p>
      <w:pPr>
        <w:pStyle w:val="Normal"/>
        <w:ind w:start="540" w:end="0"/>
        <w:rPr>
          <w:i/>
          <w:i/>
          <w:iCs/>
        </w:rPr>
      </w:pPr>
      <w:r>
        <w:rPr>
          <w:i/>
          <w:iCs/>
        </w:rPr>
      </w:r>
    </w:p>
    <w:p>
      <w:pPr>
        <w:pStyle w:val="Normal"/>
        <w:ind w:start="540" w:end="0"/>
        <w:rPr>
          <w:i/>
          <w:i/>
          <w:iCs/>
        </w:rPr>
      </w:pPr>
      <w:r>
        <w:rPr>
          <w:i/>
          <w:iCs/>
        </w:rPr>
      </w:r>
    </w:p>
    <w:p>
      <w:pPr>
        <w:pStyle w:val="Normal"/>
        <w:ind w:hanging="720" w:start="720" w:end="0"/>
        <w:rPr/>
      </w:pPr>
      <w:r>
        <w:rPr>
          <w:i/>
          <w:iCs/>
          <w:caps/>
        </w:rPr>
        <w:t>3.</w:t>
        <w:tab/>
        <w:t>IssueS:</w:t>
      </w:r>
      <w:r>
        <w:rPr>
          <w:i/>
          <w:iCs/>
        </w:rPr>
        <w:t xml:space="preserve"> How do two parties manage the inventory and injection/withdrawal rights? Who is responsible for the regulatory items?  How do you effectively handle the LUAF?</w:t>
      </w:r>
    </w:p>
    <w:p>
      <w:pPr>
        <w:pStyle w:val="Normal"/>
        <w:ind w:hanging="1080" w:start="1620" w:end="0"/>
        <w:rPr>
          <w:i/>
          <w:i/>
          <w:iCs/>
        </w:rPr>
      </w:pPr>
      <w:r>
        <w:rPr>
          <w:i/>
          <w:iCs/>
        </w:rPr>
      </w:r>
    </w:p>
    <w:p>
      <w:pPr>
        <w:pStyle w:val="Normal"/>
        <w:ind w:hanging="720" w:start="1440" w:end="0"/>
        <w:rPr/>
      </w:pPr>
      <w:r>
        <w:rPr>
          <w:i/>
          <w:iCs/>
        </w:rPr>
        <w:t>A.</w:t>
        <w:tab/>
        <w:t>On the 160</w:t>
      </w:r>
      <w:r>
        <w:rPr>
          <w:i/>
          <w:iCs/>
          <w:vertAlign w:val="superscript"/>
        </w:rPr>
        <w:t>th</w:t>
      </w:r>
      <w:r>
        <w:rPr>
          <w:i/>
          <w:iCs/>
        </w:rPr>
        <w:t xml:space="preserve"> day, Enron will relinquish 2Bcf of working gas in Dow #13/14.  Furthermore, Dow has the right to connect to the wellhead during the 160</w:t>
      </w:r>
      <w:r>
        <w:rPr>
          <w:i/>
          <w:iCs/>
          <w:vertAlign w:val="superscript"/>
        </w:rPr>
        <w:t xml:space="preserve"> </w:t>
      </w:r>
      <w:r>
        <w:rPr>
          <w:i/>
          <w:iCs/>
        </w:rPr>
        <w:t>day period.  Dow will have 50% of the injection and withdrawal rights from the 160</w:t>
      </w:r>
      <w:r>
        <w:rPr>
          <w:i/>
          <w:iCs/>
          <w:vertAlign w:val="superscript"/>
        </w:rPr>
        <w:t>th</w:t>
      </w:r>
      <w:r>
        <w:rPr>
          <w:i/>
          <w:iCs/>
        </w:rPr>
        <w:t xml:space="preserve"> to the 220</w:t>
      </w:r>
      <w:r>
        <w:rPr>
          <w:i/>
          <w:iCs/>
          <w:vertAlign w:val="superscript"/>
        </w:rPr>
        <w:t>th</w:t>
      </w:r>
      <w:r>
        <w:rPr>
          <w:i/>
          <w:iCs/>
        </w:rPr>
        <w:t xml:space="preserve"> day but not the ESC compression facilities.</w:t>
      </w:r>
    </w:p>
    <w:p>
      <w:pPr>
        <w:pStyle w:val="Normal"/>
        <w:ind w:hanging="720" w:start="1440" w:end="0"/>
        <w:rPr>
          <w:i/>
          <w:i/>
          <w:iCs/>
        </w:rPr>
      </w:pPr>
      <w:r>
        <w:rPr>
          <w:i/>
          <w:iCs/>
        </w:rPr>
      </w:r>
    </w:p>
    <w:p>
      <w:pPr>
        <w:pStyle w:val="Normal"/>
        <w:ind w:hanging="720" w:start="1440" w:end="0"/>
        <w:rPr>
          <w:i/>
          <w:i/>
          <w:iCs/>
        </w:rPr>
      </w:pPr>
      <w:r>
        <w:rPr>
          <w:i/>
          <w:iCs/>
        </w:rPr>
        <w:t>B.</w:t>
        <w:tab/>
        <w:t>When Dow obtains 2Bcf of working gas in Dow #13/14, BHLP must rely on 2Bcf in Nville #1 and 2Bcf in Dow #13 at the same time.  Consequently, BHLP will indiscriminately dewater and trade in the Nville #1 at the same time.</w:t>
      </w:r>
    </w:p>
    <w:p>
      <w:pPr>
        <w:pStyle w:val="Normal"/>
        <w:ind w:start="720" w:end="0"/>
        <w:rPr>
          <w:i/>
          <w:i/>
          <w:iCs/>
        </w:rPr>
      </w:pPr>
      <w:r>
        <w:rPr>
          <w:i/>
          <w:iCs/>
        </w:rPr>
      </w:r>
    </w:p>
    <w:p>
      <w:pPr>
        <w:pStyle w:val="Normal"/>
        <w:ind w:hanging="720" w:start="1440" w:end="0"/>
        <w:rPr>
          <w:i/>
          <w:i/>
          <w:iCs/>
        </w:rPr>
      </w:pPr>
      <w:r>
        <w:rPr>
          <w:i/>
          <w:iCs/>
        </w:rPr>
        <w:t>C.</w:t>
        <w:tab/>
        <w:t>It will take forever to completely dewater Nville #1 to the 4Bcf level.  In addition, this conflicts with the commitment to Dow to continue dewatering without interruption mentioned above.</w:t>
      </w:r>
    </w:p>
    <w:p>
      <w:pPr>
        <w:pStyle w:val="Normal"/>
        <w:ind w:start="720" w:end="0"/>
        <w:rPr>
          <w:i/>
          <w:i/>
          <w:iCs/>
        </w:rPr>
      </w:pPr>
      <w:r>
        <w:rPr>
          <w:i/>
          <w:iCs/>
        </w:rPr>
      </w:r>
    </w:p>
    <w:p>
      <w:pPr>
        <w:pStyle w:val="Normal"/>
        <w:ind w:hanging="720" w:start="720" w:end="0"/>
        <w:rPr>
          <w:i/>
          <w:i/>
          <w:iCs/>
        </w:rPr>
      </w:pPr>
      <w:r>
        <w:rPr>
          <w:i/>
          <w:iCs/>
        </w:rPr>
        <w:t>4.</w:t>
        <w:tab/>
        <w:t>Enron commitment to exit Dow #13/14 no later than the earlier of 1) June 1, 2002 or 2) 220 days after the gas injections begin.</w:t>
      </w:r>
    </w:p>
    <w:p>
      <w:pPr>
        <w:pStyle w:val="Normal"/>
        <w:ind w:hanging="720" w:start="720" w:end="0"/>
        <w:rPr>
          <w:i/>
          <w:i/>
          <w:iCs/>
        </w:rPr>
      </w:pPr>
      <w:r>
        <w:rPr>
          <w:i/>
          <w:iCs/>
        </w:rPr>
      </w:r>
    </w:p>
    <w:p>
      <w:pPr>
        <w:pStyle w:val="Normal"/>
        <w:ind w:hanging="720" w:start="1440" w:end="0"/>
        <w:rPr>
          <w:i/>
          <w:i/>
          <w:iCs/>
        </w:rPr>
      </w:pPr>
      <w:r>
        <w:rPr>
          <w:i/>
          <w:iCs/>
        </w:rPr>
        <w:t>A.</w:t>
        <w:tab/>
        <w:t>To remove 7.85Bcf (pad plus 4Bcf of working gas), BHLP must average 35.6MM/D without interruption.  Similar to the comment on paragraph 2, it is a new constraint of BHLP.</w:t>
      </w:r>
    </w:p>
    <w:p>
      <w:pPr>
        <w:pStyle w:val="Normal"/>
        <w:ind w:hanging="720" w:start="1440" w:end="0"/>
        <w:rPr>
          <w:i/>
          <w:i/>
          <w:iCs/>
        </w:rPr>
      </w:pPr>
      <w:r>
        <w:rPr>
          <w:i/>
          <w:iCs/>
        </w:rPr>
      </w:r>
    </w:p>
    <w:p>
      <w:pPr>
        <w:pStyle w:val="Normal"/>
        <w:ind w:hanging="720" w:start="1440" w:end="0"/>
        <w:rPr>
          <w:i/>
          <w:i/>
          <w:iCs/>
        </w:rPr>
      </w:pPr>
      <w:r>
        <w:rPr>
          <w:i/>
          <w:iCs/>
        </w:rPr>
        <w:t>B.</w:t>
        <w:tab/>
        <w:t>Due to the commitment to Dow for the first 2Bcf, it is impossible to accomplish unless BHLP considers dewatering as its first priority and doesn’t withdraw any working gas in Nville #1 until reaching the 4Bcf point.</w:t>
      </w:r>
    </w:p>
    <w:p>
      <w:pPr>
        <w:pStyle w:val="BodyTextIndent3"/>
        <w:rPr>
          <w:i/>
          <w:i/>
          <w:iCs/>
          <w:u w:val="none"/>
        </w:rPr>
      </w:pPr>
      <w:r>
        <w:rPr>
          <w:i/>
          <w:iCs/>
          <w:u w:val="none"/>
        </w:rPr>
      </w:r>
    </w:p>
    <w:p>
      <w:pPr>
        <w:pStyle w:val="BodyTextIndent3"/>
        <w:ind w:hanging="720" w:start="1440" w:end="0"/>
        <w:rPr>
          <w:i/>
          <w:i/>
          <w:iCs/>
          <w:u w:val="none"/>
        </w:rPr>
      </w:pPr>
      <w:r>
        <w:rPr>
          <w:i/>
          <w:iCs/>
          <w:u w:val="none"/>
        </w:rPr>
        <w:t>C.</w:t>
        <w:tab/>
        <w:t>The deadline is extended whenever Dow cannot accept brine at 2000gpm.  However, the deadline is NOT extended whenever Enron fails to provide brine at volumes and pressures adequate to enter the Dow brine system.</w:t>
      </w:r>
    </w:p>
    <w:p>
      <w:pPr>
        <w:pStyle w:val="BodyTextIndent3"/>
        <w:rPr>
          <w:i/>
          <w:i/>
          <w:iCs/>
          <w:u w:val="none"/>
        </w:rPr>
      </w:pPr>
      <w:r>
        <w:rPr>
          <w:i/>
          <w:iCs/>
          <w:u w:val="none"/>
        </w:rPr>
      </w:r>
    </w:p>
    <w:p>
      <w:pPr>
        <w:pStyle w:val="BodyTextIndent3"/>
        <w:ind w:start="0" w:end="0"/>
        <w:rPr>
          <w:i/>
          <w:i/>
          <w:iCs/>
          <w:u w:val="none"/>
        </w:rPr>
      </w:pPr>
      <w:r>
        <w:rPr>
          <w:i/>
          <w:iCs/>
          <w:u w:val="none"/>
        </w:rPr>
        <w:t>5.</w:t>
        <w:tab/>
        <w:t>Enron shall have a MIT conducted no later than July 1, 2001.</w:t>
      </w:r>
    </w:p>
    <w:p>
      <w:pPr>
        <w:pStyle w:val="BodyTextIndent3"/>
        <w:rPr>
          <w:i/>
          <w:i/>
          <w:iCs/>
          <w:u w:val="none"/>
        </w:rPr>
      </w:pPr>
      <w:r>
        <w:rPr>
          <w:i/>
          <w:iCs/>
          <w:u w:val="none"/>
        </w:rPr>
      </w:r>
    </w:p>
    <w:p>
      <w:pPr>
        <w:pStyle w:val="BodyTextIndent3"/>
        <w:ind w:hanging="720" w:start="1440" w:end="0"/>
        <w:rPr>
          <w:i/>
          <w:i/>
          <w:iCs/>
          <w:u w:val="none"/>
        </w:rPr>
      </w:pPr>
      <w:r>
        <w:rPr>
          <w:i/>
          <w:iCs/>
          <w:u w:val="none"/>
        </w:rPr>
        <w:t>A.</w:t>
        <w:tab/>
        <w:t xml:space="preserve">An MIT can take anywhere from 1 week to 3 weeks to perform.  During the MIT the caverns must be idle.  The outage will adversely affect BHLP’s storage and trading business.  </w:t>
      </w:r>
    </w:p>
    <w:p>
      <w:pPr>
        <w:pStyle w:val="BodyTextIndent3"/>
        <w:ind w:hanging="720" w:start="1440" w:end="0"/>
        <w:rPr>
          <w:i/>
          <w:i/>
          <w:iCs/>
          <w:u w:val="none"/>
        </w:rPr>
      </w:pPr>
      <w:r>
        <w:rPr>
          <w:i/>
          <w:iCs/>
          <w:u w:val="none"/>
        </w:rPr>
      </w:r>
    </w:p>
    <w:p>
      <w:pPr>
        <w:pStyle w:val="BodyTextIndent3"/>
        <w:ind w:hanging="720" w:start="1440" w:end="0"/>
        <w:rPr>
          <w:i/>
          <w:i/>
          <w:iCs/>
          <w:u w:val="none"/>
        </w:rPr>
      </w:pPr>
      <w:r>
        <w:rPr>
          <w:i/>
          <w:iCs/>
          <w:u w:val="none"/>
        </w:rPr>
        <w:t>B.</w:t>
        <w:tab/>
        <w:t>Since BHLP has already met the state regulatory obligations, Enron should keep BHLP and its storage customers whole.</w:t>
      </w:r>
    </w:p>
    <w:p>
      <w:pPr>
        <w:pStyle w:val="BodyTextIndent3"/>
        <w:rPr>
          <w:i/>
          <w:i/>
          <w:iCs/>
          <w:u w:val="none"/>
        </w:rPr>
      </w:pPr>
      <w:r>
        <w:rPr>
          <w:i/>
          <w:iCs/>
          <w:u w:val="none"/>
        </w:rPr>
      </w:r>
    </w:p>
    <w:p>
      <w:pPr>
        <w:pStyle w:val="BodyTextIndent3"/>
        <w:ind w:hanging="720" w:end="0"/>
        <w:rPr>
          <w:i/>
          <w:i/>
          <w:iCs/>
          <w:u w:val="none"/>
        </w:rPr>
      </w:pPr>
      <w:r>
        <w:rPr>
          <w:i/>
          <w:iCs/>
          <w:u w:val="none"/>
        </w:rPr>
        <w:t>6.</w:t>
        <w:tab/>
        <w:t>A force majeure event may NOT extend the lease beyond June 1, 2002.</w:t>
      </w:r>
    </w:p>
    <w:p>
      <w:pPr>
        <w:pStyle w:val="BodyTextIndent3"/>
        <w:ind w:start="0" w:end="0"/>
        <w:rPr>
          <w:i/>
          <w:i/>
          <w:iCs/>
          <w:u w:val="none"/>
        </w:rPr>
      </w:pPr>
      <w:r>
        <w:rPr>
          <w:i/>
          <w:iCs/>
          <w:u w:val="none"/>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Normal"/>
        <w:rPr>
          <w:color w:val="0000FF"/>
          <w:u w:val="single"/>
        </w:rPr>
      </w:pPr>
      <w:r>
        <w:rPr>
          <w:color w:val="0000FF"/>
          <w:u w:val="single"/>
        </w:rPr>
        <w:t>Enron Position:</w:t>
      </w:r>
    </w:p>
    <w:p>
      <w:pPr>
        <w:pStyle w:val="Normal"/>
        <w:rPr>
          <w:color w:val="0000FF"/>
          <w:u w:val="single"/>
        </w:rPr>
      </w:pPr>
      <w:r>
        <w:rPr>
          <w:color w:val="0000FF"/>
          <w:u w:val="single"/>
        </w:rPr>
      </w:r>
    </w:p>
    <w:p>
      <w:pPr>
        <w:pStyle w:val="Normal"/>
        <w:ind w:hanging="720" w:start="720" w:end="0"/>
        <w:rPr/>
      </w:pPr>
      <w:r>
        <w:rPr>
          <w:color w:val="0000FF"/>
        </w:rPr>
        <w:t>1.</w:t>
        <w:tab/>
      </w:r>
      <w:r>
        <w:rPr>
          <w:b/>
          <w:bCs/>
          <w:color w:val="0000FF"/>
          <w:u w:val="single"/>
        </w:rPr>
        <w:t>24” Pipeline</w:t>
      </w:r>
      <w:r>
        <w:rPr>
          <w:b/>
          <w:bCs/>
          <w:color w:val="0000FF"/>
        </w:rPr>
        <w:t xml:space="preserve"> </w:t>
      </w:r>
      <w:r>
        <w:rPr>
          <w:color w:val="0000FF"/>
        </w:rPr>
        <w:t>- Enron agrees to reimburse BHLP the $328,000 for the installation of the 24” Pipeline to Nville #1 located inside the Nville Compressor Station.</w:t>
      </w:r>
    </w:p>
    <w:p>
      <w:pPr>
        <w:pStyle w:val="Normal"/>
        <w:rPr>
          <w:color w:val="0000FF"/>
        </w:rPr>
      </w:pPr>
      <w:r>
        <w:rPr>
          <w:color w:val="0000FF"/>
        </w:rPr>
      </w:r>
    </w:p>
    <w:p>
      <w:pPr>
        <w:pStyle w:val="Normal"/>
        <w:ind w:hanging="720" w:start="720" w:end="0"/>
        <w:jc w:val="both"/>
        <w:rPr/>
      </w:pPr>
      <w:r>
        <w:rPr>
          <w:color w:val="0000FF"/>
        </w:rPr>
        <w:t>2.</w:t>
        <w:tab/>
      </w:r>
      <w:r>
        <w:rPr>
          <w:b/>
          <w:bCs/>
          <w:color w:val="0000FF"/>
          <w:u w:val="single"/>
        </w:rPr>
        <w:t>Filter Separator</w:t>
      </w:r>
      <w:r>
        <w:rPr>
          <w:color w:val="0000FF"/>
        </w:rPr>
        <w:t xml:space="preserve"> - The relevant agreements concerning Bridgeline Holdings, L.P. (Contribution Agreement, Partnership Agreement etc.) contain no representations or warranties with respect to a withdrawal capability of the Nville Station, much less that it is 600 MM/D.  The decision to incur the capital to upgrade the filter/separator is BHLP’s decision.</w:t>
      </w:r>
    </w:p>
    <w:p>
      <w:pPr>
        <w:pStyle w:val="Normal"/>
        <w:ind w:hanging="720" w:start="720" w:end="0"/>
        <w:jc w:val="both"/>
        <w:rPr>
          <w:color w:val="0000FF"/>
        </w:rPr>
      </w:pPr>
      <w:r>
        <w:rPr>
          <w:color w:val="0000FF"/>
        </w:rPr>
      </w:r>
    </w:p>
    <w:p>
      <w:pPr>
        <w:pStyle w:val="Normal"/>
        <w:ind w:hanging="720" w:start="720" w:end="0"/>
        <w:jc w:val="both"/>
        <w:rPr/>
      </w:pPr>
      <w:r>
        <w:rPr>
          <w:color w:val="0000FF"/>
        </w:rPr>
        <w:t>3.</w:t>
        <w:tab/>
      </w:r>
      <w:r>
        <w:rPr>
          <w:b/>
          <w:bCs/>
          <w:color w:val="0000FF"/>
          <w:u w:val="single"/>
        </w:rPr>
        <w:t>Dewatering Pipeline</w:t>
      </w:r>
      <w:r>
        <w:rPr>
          <w:color w:val="0000FF"/>
        </w:rPr>
        <w:t xml:space="preserve"> – Enron’s obligations with respect to the dewatering of Nville #1 are clearly set forth in Schedule 3 to the Partnership Agreement.  The obligations are the following:</w:t>
      </w:r>
    </w:p>
    <w:p>
      <w:pPr>
        <w:pStyle w:val="Normal"/>
        <w:ind w:hanging="720" w:start="720" w:end="0"/>
        <w:jc w:val="both"/>
        <w:rPr>
          <w:color w:val="0000FF"/>
        </w:rPr>
      </w:pPr>
      <w:r>
        <w:rPr>
          <w:color w:val="0000FF"/>
        </w:rPr>
        <w:tab/>
      </w:r>
    </w:p>
    <w:p>
      <w:pPr>
        <w:pStyle w:val="Normal"/>
        <w:ind w:start="1440" w:end="0"/>
        <w:jc w:val="both"/>
        <w:rPr/>
      </w:pPr>
      <w:r>
        <w:rPr>
          <w:color w:val="0000FF"/>
        </w:rPr>
        <w:t>A.  Enron will make the monthly Enron Pad Gas Payment (cash payment equivalent to 35,000 MCF per day) for a period of 110 days (3.85 Bcf divided by 35,000 Mcf) from the 1</w:t>
      </w:r>
      <w:r>
        <w:rPr>
          <w:color w:val="0000FF"/>
          <w:vertAlign w:val="superscript"/>
        </w:rPr>
        <w:t>st</w:t>
      </w:r>
      <w:r>
        <w:rPr>
          <w:color w:val="0000FF"/>
        </w:rPr>
        <w:t xml:space="preserve"> day of the month following the month in which the Enron Partners give BHLP notice that Nville #1 is ready for injection of pad gas.  (Section I.B.2.b of Schedule 3)</w:t>
      </w:r>
    </w:p>
    <w:p>
      <w:pPr>
        <w:pStyle w:val="Normal"/>
        <w:ind w:hanging="720" w:start="720" w:end="0"/>
        <w:jc w:val="both"/>
        <w:rPr>
          <w:color w:val="0000FF"/>
        </w:rPr>
      </w:pPr>
      <w:r>
        <w:rPr>
          <w:color w:val="0000FF"/>
        </w:rPr>
        <w:t xml:space="preserve"> </w:t>
      </w:r>
    </w:p>
    <w:p>
      <w:pPr>
        <w:pStyle w:val="Normal"/>
        <w:ind w:start="1440" w:end="0"/>
        <w:jc w:val="both"/>
        <w:rPr>
          <w:color w:val="0000FF"/>
        </w:rPr>
      </w:pPr>
      <w:r>
        <w:rPr>
          <w:color w:val="0000FF"/>
        </w:rPr>
        <w:t xml:space="preserve">B.  Enron will provide the rights to use 4 Bcf of the Dow Caverns for 114 days from the date of the last Enron Pad Gas Payment.  The termination of the 114 day period being the “4 BCF Date”.  After the 4 BCF Date Enron has no further obligation to provide the use of the Dow Caverns to BHLP.  (Section I.B.1.a of Schedule 3)  If BHLP desires to use the Dow Caverns past the 4 BCF Date, then BHLP would need to make arrangements with Dow to utilize the Dow Caverns at BHLP sole cost and expense.  </w:t>
      </w:r>
    </w:p>
    <w:p>
      <w:pPr>
        <w:pStyle w:val="Normal"/>
        <w:ind w:start="1440" w:end="0"/>
        <w:jc w:val="both"/>
        <w:rPr>
          <w:color w:val="0000FF"/>
        </w:rPr>
      </w:pPr>
      <w:r>
        <w:rPr>
          <w:color w:val="0000FF"/>
        </w:rPr>
      </w:r>
    </w:p>
    <w:p>
      <w:pPr>
        <w:pStyle w:val="Normal"/>
        <w:ind w:start="1440" w:end="0"/>
        <w:jc w:val="both"/>
        <w:rPr>
          <w:color w:val="0000FF"/>
        </w:rPr>
      </w:pPr>
      <w:r>
        <w:rPr>
          <w:color w:val="0000FF"/>
        </w:rPr>
        <w:t>C.  Enron will reimburse BHLP for all costs and obligations under the Dow Agreement after the earlier of the 4 BCF Date or July 1, 2002. (Section I.B.1.a of Schedule 3).  However, as detailed above, Enron has no obligation to provide the use of the Dow Caverns after the 4 BCF Date, thus there would be no costs for Enron to reimburse.</w:t>
      </w:r>
    </w:p>
    <w:p>
      <w:pPr>
        <w:pStyle w:val="Normal"/>
        <w:ind w:start="1440" w:end="0"/>
        <w:jc w:val="both"/>
        <w:rPr>
          <w:color w:val="0000FF"/>
        </w:rPr>
      </w:pPr>
      <w:r>
        <w:rPr>
          <w:color w:val="0000FF"/>
        </w:rPr>
      </w:r>
    </w:p>
    <w:p>
      <w:pPr>
        <w:pStyle w:val="Normal"/>
        <w:ind w:start="720" w:end="0"/>
        <w:jc w:val="both"/>
        <w:rPr>
          <w:color w:val="0000FF"/>
        </w:rPr>
      </w:pPr>
      <w:r>
        <w:rPr>
          <w:color w:val="0000FF"/>
        </w:rPr>
        <w:t>If Enron fails to meets the above obligations, Section III.B.1. of Schedule 3 specifies Enron’s resulting obligations.  Enron would have to provide Alternative Storage, Virtual Storage, or pay the fee set forth in Section III.B.1.(c) of Schedule 3.  The fees set forth in this Section are offset by the amount of pad or working gas that BHLP could have injected but elected not to do so (not to exceed 35,000 Mcf per day).  Assuming that BHLP injects 35,000 Mcf each day for 114 days, the Nville #1 would have 4 Bcf of working gas.  BHLP has discretion over the dewatering operation and the ability to flexibly manage the ongoing storage activites along with the dewatering activities.  If BHLP elects not to inject on any given day, then BHLP is responsible, not Enron.</w:t>
      </w:r>
    </w:p>
    <w:p>
      <w:pPr>
        <w:pStyle w:val="Normal"/>
        <w:ind w:start="720" w:end="0"/>
        <w:jc w:val="both"/>
        <w:rPr>
          <w:color w:val="0000FF"/>
        </w:rPr>
      </w:pPr>
      <w:r>
        <w:rPr>
          <w:color w:val="0000FF"/>
        </w:rPr>
      </w:r>
    </w:p>
    <w:p>
      <w:pPr>
        <w:pStyle w:val="Normal"/>
        <w:ind w:start="720" w:end="0"/>
        <w:jc w:val="both"/>
        <w:rPr>
          <w:color w:val="0000FF"/>
        </w:rPr>
      </w:pPr>
      <w:r>
        <w:rPr>
          <w:color w:val="0000FF"/>
        </w:rPr>
        <w:t xml:space="preserve">These are the total Enron’s obligations concerning the caverns.  These obligations do not include the installation a dewatering pipeline.  Enron’s commitments to Dow under the Dow Agreement are not relevant.  If BHLP feels the installation of such line is desirable, then this is a BHLP expense.  </w:t>
      </w:r>
    </w:p>
    <w:p>
      <w:pPr>
        <w:pStyle w:val="Normal"/>
        <w:jc w:val="both"/>
        <w:rPr>
          <w:color w:val="0000FF"/>
        </w:rPr>
      </w:pPr>
      <w:r>
        <w:rPr>
          <w:color w:val="0000FF"/>
        </w:rPr>
      </w:r>
    </w:p>
    <w:p>
      <w:pPr>
        <w:pStyle w:val="Normal"/>
        <w:ind w:hanging="720" w:start="720" w:end="0"/>
        <w:jc w:val="both"/>
        <w:rPr/>
      </w:pPr>
      <w:r>
        <w:rPr>
          <w:color w:val="0000FF"/>
        </w:rPr>
        <w:t>3.</w:t>
        <w:tab/>
      </w:r>
      <w:r>
        <w:rPr>
          <w:b/>
          <w:bCs/>
          <w:color w:val="0000FF"/>
          <w:u w:val="single"/>
        </w:rPr>
        <w:t>Legal, Technical, and Operational Aspects of Dewatering</w:t>
      </w:r>
      <w:r>
        <w:rPr>
          <w:b/>
          <w:bCs/>
          <w:color w:val="0000FF"/>
        </w:rPr>
        <w:t xml:space="preserve"> </w:t>
      </w:r>
      <w:r>
        <w:rPr>
          <w:color w:val="0000FF"/>
        </w:rPr>
        <w:t xml:space="preserve">– Upon Enron’s contribution of Nville #1 to BHLP the legal, technical, and operational aspects of dewatering Nville #1 belong to BHLP.  Enron will contribute Nville #1 upon issuance of all necessary permits by the Louisiana Office of Conservation.  All other requirements necessary for contribution have been met including, a cavern leached to 7 Bcf of capacity, completed and passed the mechanical integrity test, and connecting Nville #1 to the Surface Facilities and Lateral. (See Section I.2.a,d,e,f, and g of Schedule 3)  Once the cavern is contributed all further requirements for dewatering Nville #1 belong to BHLP except for (i) the Enron Pad Gas Payment (Section I.2.b of Schedule 3) and (ii) Enron’s payment of the costs associated with the Enron Partner’s brine agreement (Section I.2.c of Schedule 3). </w:t>
      </w:r>
    </w:p>
    <w:p>
      <w:pPr>
        <w:pStyle w:val="Normal"/>
        <w:rPr>
          <w:color w:val="0000FF"/>
        </w:rPr>
      </w:pPr>
      <w:r>
        <w:rPr>
          <w:color w:val="0000FF"/>
        </w:rPr>
      </w:r>
    </w:p>
    <w:p>
      <w:pPr>
        <w:pStyle w:val="Normal"/>
        <w:ind w:hanging="720" w:start="720" w:end="0"/>
        <w:jc w:val="both"/>
        <w:rPr/>
      </w:pPr>
      <w:r>
        <w:rPr>
          <w:color w:val="0000FF"/>
        </w:rPr>
        <w:t>4.</w:t>
        <w:tab/>
      </w:r>
      <w:r>
        <w:rPr>
          <w:b/>
          <w:bCs/>
          <w:color w:val="0000FF"/>
          <w:u w:val="single"/>
        </w:rPr>
        <w:t>Management of Inventory and Injection/Withdrawal Rights</w:t>
      </w:r>
      <w:r>
        <w:rPr>
          <w:b/>
          <w:bCs/>
          <w:color w:val="0000FF"/>
        </w:rPr>
        <w:t xml:space="preserve"> </w:t>
      </w:r>
      <w:r>
        <w:rPr>
          <w:color w:val="0000FF"/>
        </w:rPr>
        <w:t>–  This will no longer be an issue as Dow (or a third party) will not be utilizing the Dow Caverns at the same time as BHLP.</w:t>
      </w:r>
    </w:p>
    <w:p>
      <w:pPr>
        <w:pStyle w:val="Normal"/>
        <w:ind w:hanging="720" w:start="720" w:end="0"/>
        <w:jc w:val="both"/>
        <w:rPr>
          <w:color w:val="0000FF"/>
        </w:rPr>
      </w:pPr>
      <w:r>
        <w:rPr>
          <w:color w:val="0000FF"/>
        </w:rPr>
      </w:r>
    </w:p>
    <w:p>
      <w:pPr>
        <w:pStyle w:val="Normal"/>
        <w:ind w:hanging="720" w:start="720" w:end="0"/>
        <w:jc w:val="both"/>
        <w:rPr>
          <w:i/>
          <w:i/>
          <w:iCs/>
        </w:rPr>
      </w:pPr>
      <w:r>
        <w:rPr>
          <w:color w:val="0000FF"/>
        </w:rPr>
        <w:t>5.</w:t>
        <w:tab/>
      </w:r>
      <w:r>
        <w:rPr>
          <w:b/>
          <w:bCs/>
          <w:color w:val="0000FF"/>
          <w:u w:val="single"/>
        </w:rPr>
        <w:t>MIT Test on Dow Cavern’s</w:t>
      </w:r>
      <w:r>
        <w:rPr>
          <w:b/>
          <w:bCs/>
          <w:color w:val="0000FF"/>
        </w:rPr>
        <w:t xml:space="preserve"> </w:t>
      </w:r>
      <w:r>
        <w:rPr>
          <w:color w:val="0000FF"/>
        </w:rPr>
        <w:t>– This test and associated outage will no longer be required as Dow has accepted alternative testing [Rusty?]</w:t>
      </w:r>
    </w:p>
    <w:p>
      <w:pPr>
        <w:pStyle w:val="Normal"/>
        <w:jc w:val="both"/>
        <w:rPr>
          <w:i/>
          <w:i/>
          <w:iCs/>
        </w:rPr>
      </w:pPr>
      <w:r>
        <w:rPr>
          <w:i/>
          <w:iCs/>
        </w:rPr>
        <w:t xml:space="preserve"> </w:t>
      </w:r>
      <w:r>
        <w:br w:type="page"/>
      </w:r>
    </w:p>
    <w:p>
      <w:pPr>
        <w:pStyle w:val="Normal"/>
        <w:rPr/>
      </w:pPr>
      <w:r>
        <w:rPr/>
      </w:r>
    </w:p>
    <w:p>
      <w:pPr>
        <w:pStyle w:val="Normal"/>
        <w:rPr>
          <w:b/>
          <w:bCs/>
          <w:u w:val="single"/>
        </w:rPr>
      </w:pPr>
      <w:r>
        <w:rPr>
          <w:b/>
          <w:bCs/>
          <w:u w:val="single"/>
        </w:rPr>
        <w:t>PARADIS COMPRESSOR STATION</w:t>
      </w:r>
    </w:p>
    <w:p>
      <w:pPr>
        <w:pStyle w:val="Normal"/>
        <w:rPr>
          <w:b/>
          <w:bCs/>
          <w:u w:val="single"/>
        </w:rPr>
      </w:pPr>
      <w:r>
        <w:rPr>
          <w:b/>
          <w:bCs/>
          <w:u w:val="single"/>
        </w:rPr>
      </w:r>
    </w:p>
    <w:p>
      <w:pPr>
        <w:pStyle w:val="Normal"/>
        <w:rPr/>
      </w:pPr>
      <w:r>
        <w:rPr/>
      </w:r>
    </w:p>
    <w:p>
      <w:pPr>
        <w:pStyle w:val="Normal"/>
        <w:rPr>
          <w:b/>
          <w:bCs/>
          <w:i/>
          <w:i/>
          <w:iCs/>
          <w:u w:val="single"/>
        </w:rPr>
      </w:pPr>
      <w:r>
        <w:rPr>
          <w:b/>
          <w:bCs/>
          <w:i/>
          <w:iCs/>
          <w:u w:val="single"/>
        </w:rPr>
        <w:t>Bridgeline Issue:</w:t>
      </w:r>
    </w:p>
    <w:p>
      <w:pPr>
        <w:pStyle w:val="Normal"/>
        <w:rPr>
          <w:b/>
          <w:bCs/>
          <w:i/>
          <w:i/>
          <w:iCs/>
          <w:u w:val="single"/>
        </w:rPr>
      </w:pPr>
      <w:r>
        <w:rPr>
          <w:b/>
          <w:bCs/>
          <w:i/>
          <w:iCs/>
          <w:u w:val="single"/>
        </w:rPr>
      </w:r>
    </w:p>
    <w:p>
      <w:pPr>
        <w:pStyle w:val="Normal"/>
        <w:ind w:hanging="720" w:start="720" w:end="0"/>
        <w:rPr>
          <w:i/>
          <w:i/>
          <w:iCs/>
        </w:rPr>
      </w:pPr>
      <w:r>
        <w:rPr>
          <w:i/>
          <w:iCs/>
        </w:rPr>
        <w:t>1.</w:t>
        <w:tab/>
        <w:t>As part of the due diligence, the Paradis Compressor cannot meet the performance measures of the O&amp;M Agreement.</w:t>
      </w:r>
    </w:p>
    <w:p>
      <w:pPr>
        <w:pStyle w:val="Normal"/>
        <w:ind w:hanging="720" w:start="720" w:end="0"/>
        <w:rPr>
          <w:i/>
          <w:i/>
          <w:iCs/>
        </w:rPr>
      </w:pPr>
      <w:r>
        <w:rPr>
          <w:i/>
          <w:iCs/>
        </w:rPr>
      </w:r>
    </w:p>
    <w:p>
      <w:pPr>
        <w:pStyle w:val="Normal"/>
        <w:ind w:hanging="720" w:start="720" w:end="0"/>
        <w:rPr>
          <w:i/>
          <w:i/>
          <w:iCs/>
        </w:rPr>
      </w:pPr>
      <w:r>
        <w:rPr>
          <w:i/>
          <w:iCs/>
        </w:rPr>
        <w:t>2.</w:t>
        <w:tab/>
        <w:t>As per Schedule 2.16, Enron would pay to fix the fire eyes, batteries, and air/fuel controller at Paradis Compressor, in order to meet the required run-time standards.</w:t>
      </w:r>
    </w:p>
    <w:p>
      <w:pPr>
        <w:pStyle w:val="Normal"/>
        <w:ind w:hanging="720" w:start="720" w:end="0"/>
        <w:rPr>
          <w:i/>
          <w:i/>
          <w:iCs/>
        </w:rPr>
      </w:pPr>
      <w:r>
        <w:rPr>
          <w:i/>
          <w:iCs/>
        </w:rPr>
      </w:r>
    </w:p>
    <w:p>
      <w:pPr>
        <w:pStyle w:val="Normal"/>
        <w:rPr>
          <w:b/>
          <w:bCs/>
          <w:i/>
          <w:i/>
          <w:iCs/>
          <w:u w:val="single"/>
        </w:rPr>
      </w:pPr>
      <w:r>
        <w:rPr>
          <w:b/>
          <w:bCs/>
          <w:i/>
          <w:iCs/>
          <w:u w:val="single"/>
        </w:rPr>
        <w:t>Bridgeline Position:</w:t>
      </w:r>
    </w:p>
    <w:p>
      <w:pPr>
        <w:pStyle w:val="Normal"/>
        <w:ind w:hanging="720" w:start="720" w:end="0"/>
        <w:rPr>
          <w:b/>
          <w:bCs/>
          <w:i/>
          <w:i/>
          <w:iCs/>
          <w:u w:val="single"/>
        </w:rPr>
      </w:pPr>
      <w:r>
        <w:rPr>
          <w:b/>
          <w:bCs/>
          <w:i/>
          <w:iCs/>
          <w:u w:val="single"/>
        </w:rPr>
      </w:r>
    </w:p>
    <w:p>
      <w:pPr>
        <w:pStyle w:val="Normal"/>
        <w:ind w:hanging="720" w:start="720" w:end="0"/>
        <w:rPr>
          <w:i/>
          <w:i/>
          <w:iCs/>
        </w:rPr>
      </w:pPr>
      <w:r>
        <w:rPr>
          <w:i/>
          <w:iCs/>
        </w:rPr>
        <w:t>3.</w:t>
        <w:tab/>
        <w:t>BHLP plans to make modifications to the Paradis Station as part of an integration project, sometime in 2001.  The modifications referenced in Schedule 2.16 would be completed at the same time.</w:t>
      </w:r>
    </w:p>
    <w:p>
      <w:pPr>
        <w:pStyle w:val="Normal"/>
        <w:ind w:hanging="720" w:start="720" w:end="0"/>
        <w:rPr>
          <w:i/>
          <w:i/>
          <w:iCs/>
        </w:rPr>
      </w:pPr>
      <w:r>
        <w:rPr>
          <w:i/>
          <w:iCs/>
        </w:rPr>
      </w:r>
    </w:p>
    <w:p>
      <w:pPr>
        <w:pStyle w:val="Normal"/>
        <w:ind w:hanging="720" w:start="720" w:end="0"/>
        <w:rPr>
          <w:i/>
          <w:i/>
          <w:iCs/>
        </w:rPr>
      </w:pPr>
      <w:r>
        <w:rPr>
          <w:i/>
          <w:iCs/>
        </w:rPr>
        <w:t>4.</w:t>
        <w:tab/>
        <w:t>Rather than wait for the integration project, BHLP will bill Enron an AFE-estimated cost of $43,310, based on similar work completed at Donaldsonville. BHLP will accept any cost of the actual costs exceed the estimate.</w:t>
      </w:r>
    </w:p>
    <w:p>
      <w:pPr>
        <w:pStyle w:val="Normal"/>
        <w:rPr/>
      </w:pPr>
      <w:r>
        <w:rPr/>
      </w:r>
    </w:p>
    <w:p>
      <w:pPr>
        <w:pStyle w:val="Normal"/>
        <w:rPr/>
      </w:pPr>
      <w:r>
        <w:rPr/>
      </w:r>
    </w:p>
    <w:p>
      <w:pPr>
        <w:pStyle w:val="Normal"/>
        <w:rPr>
          <w:b/>
          <w:bCs/>
          <w:color w:val="0000FF"/>
          <w:u w:val="single"/>
        </w:rPr>
      </w:pPr>
      <w:r>
        <w:rPr>
          <w:b/>
          <w:bCs/>
          <w:color w:val="0000FF"/>
          <w:u w:val="single"/>
        </w:rPr>
        <w:t>Enron Comments:</w:t>
      </w:r>
    </w:p>
    <w:p>
      <w:pPr>
        <w:pStyle w:val="Normal"/>
        <w:jc w:val="both"/>
        <w:rPr>
          <w:b/>
          <w:bCs/>
          <w:color w:val="0000FF"/>
          <w:u w:val="single"/>
        </w:rPr>
      </w:pPr>
      <w:r>
        <w:rPr>
          <w:b/>
          <w:bCs/>
          <w:color w:val="0000FF"/>
          <w:u w:val="single"/>
        </w:rPr>
      </w:r>
    </w:p>
    <w:p>
      <w:pPr>
        <w:pStyle w:val="Normal"/>
        <w:ind w:hanging="720" w:start="720" w:end="0"/>
        <w:jc w:val="both"/>
        <w:rPr>
          <w:color w:val="0000FF"/>
        </w:rPr>
      </w:pPr>
      <w:r>
        <w:rPr>
          <w:color w:val="0000FF"/>
        </w:rPr>
        <w:t>1.</w:t>
        <w:tab/>
        <w:t xml:space="preserve">The Project Agreements make no reference to the O&amp;M performance requirements as stated by Bridgeline.  The fire eyes, batteries, and air/fuel controller were specifically disclosed to BHLP under Schedule 2.16 to the Contribution Agreement.  Schedule 2.16 does not impose any obligation on Enron to pay for such upgrades to the Paradis Compressor.  Section 8.2(f) of the Contribution Agreement only covers Enron’s responsibility to hold BHLP harmless in the event that BHLP incurs costs as a result of the items disclosed on Schedule 2.16 which result from a third party action.  </w:t>
      </w:r>
      <w:r>
        <w:rPr>
          <w:i/>
          <w:iCs/>
          <w:color w:val="0000FF"/>
        </w:rPr>
        <w:t>[Need to discuss this one]</w:t>
      </w:r>
    </w:p>
    <w:p>
      <w:pPr>
        <w:pStyle w:val="Normal"/>
        <w:rPr>
          <w:color w:val="0000FF"/>
        </w:rPr>
      </w:pPr>
      <w:r>
        <w:rPr>
          <w:color w:val="0000FF"/>
        </w:rPr>
      </w:r>
    </w:p>
    <w:p>
      <w:pPr>
        <w:pStyle w:val="Normal"/>
        <w:rPr/>
      </w:pPr>
      <w:r>
        <w:rPr/>
      </w:r>
    </w:p>
    <w:p>
      <w:pPr>
        <w:pStyle w:val="Normal"/>
        <w:rPr/>
      </w:pPr>
      <w:r>
        <w:rPr/>
      </w:r>
      <w:r>
        <w:br w:type="page"/>
      </w:r>
    </w:p>
    <w:p>
      <w:pPr>
        <w:pStyle w:val="Normal"/>
        <w:rPr/>
      </w:pPr>
      <w:r>
        <w:rPr/>
      </w:r>
    </w:p>
    <w:p>
      <w:pPr>
        <w:pStyle w:val="BodyTextIndent3"/>
        <w:ind w:start="0" w:end="0"/>
        <w:rPr>
          <w:b/>
          <w:bCs/>
        </w:rPr>
      </w:pPr>
      <w:r>
        <w:rPr>
          <w:b/>
          <w:bCs/>
        </w:rPr>
        <w:t>RIGHT OF WAY</w:t>
      </w:r>
    </w:p>
    <w:p>
      <w:pPr>
        <w:pStyle w:val="BodyTextIndent3"/>
        <w:ind w:start="0" w:end="0"/>
        <w:rPr>
          <w:i/>
          <w:i/>
          <w:iCs/>
          <w:u w:val="none"/>
        </w:rPr>
      </w:pPr>
      <w:r>
        <w:rPr>
          <w:i/>
          <w:iCs/>
          <w:u w:val="none"/>
        </w:rPr>
      </w:r>
    </w:p>
    <w:p>
      <w:pPr>
        <w:pStyle w:val="BodyTextIndent3"/>
        <w:ind w:start="0" w:end="0"/>
        <w:rPr>
          <w:b/>
          <w:bCs/>
          <w:i/>
          <w:i/>
          <w:iCs/>
        </w:rPr>
      </w:pPr>
      <w:r>
        <w:rPr>
          <w:b/>
          <w:bCs/>
          <w:i/>
          <w:iCs/>
        </w:rPr>
        <w:t>Bridgeline Issue:</w:t>
      </w:r>
    </w:p>
    <w:p>
      <w:pPr>
        <w:pStyle w:val="BodyTextIndent3"/>
        <w:ind w:start="0" w:end="0"/>
        <w:rPr>
          <w:b/>
          <w:bCs/>
          <w:i/>
          <w:i/>
          <w:iCs/>
          <w:u w:val="none"/>
        </w:rPr>
      </w:pPr>
      <w:r>
        <w:rPr>
          <w:b/>
          <w:bCs/>
          <w:i/>
          <w:iCs/>
          <w:u w:val="none"/>
        </w:rPr>
      </w:r>
    </w:p>
    <w:p>
      <w:pPr>
        <w:pStyle w:val="BodyTextIndent3"/>
        <w:ind w:hanging="720" w:end="0"/>
        <w:rPr>
          <w:i/>
          <w:i/>
          <w:iCs/>
          <w:u w:val="none"/>
        </w:rPr>
      </w:pPr>
      <w:r>
        <w:rPr>
          <w:i/>
          <w:iCs/>
          <w:u w:val="none"/>
        </w:rPr>
        <w:t>1.</w:t>
        <w:tab/>
        <w:t>Enron contributed a number of encumbered and out-of-service laterals.  Will Enron reimburse BHLP to research and resolve them?</w:t>
      </w:r>
    </w:p>
    <w:p>
      <w:pPr>
        <w:pStyle w:val="BodyTextIndent3"/>
        <w:ind w:start="0" w:end="0"/>
        <w:rPr>
          <w:i/>
          <w:i/>
          <w:iCs/>
          <w:u w:val="none"/>
        </w:rPr>
      </w:pPr>
      <w:r>
        <w:rPr>
          <w:i/>
          <w:iCs/>
          <w:u w:val="none"/>
        </w:rPr>
      </w:r>
    </w:p>
    <w:p>
      <w:pPr>
        <w:pStyle w:val="BodyTextIndent3"/>
        <w:ind w:start="0" w:end="0"/>
        <w:rPr>
          <w:b/>
          <w:bCs/>
          <w:i/>
          <w:i/>
          <w:iCs/>
        </w:rPr>
      </w:pPr>
      <w:r>
        <w:rPr>
          <w:b/>
          <w:bCs/>
          <w:i/>
          <w:iCs/>
        </w:rPr>
        <w:t>Contribution Agreement:</w:t>
      </w:r>
    </w:p>
    <w:p>
      <w:pPr>
        <w:pStyle w:val="BodyTextIndent3"/>
        <w:ind w:start="0" w:end="0"/>
        <w:rPr>
          <w:b/>
          <w:bCs/>
          <w:i/>
          <w:i/>
          <w:iCs/>
          <w:u w:val="none"/>
        </w:rPr>
      </w:pPr>
      <w:r>
        <w:rPr>
          <w:b/>
          <w:bCs/>
          <w:i/>
          <w:iCs/>
          <w:u w:val="none"/>
        </w:rPr>
      </w:r>
    </w:p>
    <w:p>
      <w:pPr>
        <w:pStyle w:val="BodyTextIndent3"/>
        <w:ind w:hanging="720" w:end="0"/>
        <w:rPr>
          <w:i/>
          <w:i/>
          <w:iCs/>
          <w:u w:val="none"/>
        </w:rPr>
      </w:pPr>
      <w:r>
        <w:rPr>
          <w:i/>
          <w:iCs/>
          <w:u w:val="none"/>
        </w:rPr>
        <w:t>2.</w:t>
        <w:tab/>
        <w:t>Contribution Agreement: Article 2.8(a) states that BHLP will hold all of the equity interests in the assets, free and clear of any encumbrances…………The specific laterals are listed in the following locations:</w:t>
      </w:r>
    </w:p>
    <w:p>
      <w:pPr>
        <w:pStyle w:val="BodyTextIndent3"/>
        <w:ind w:hanging="720" w:end="0"/>
        <w:rPr>
          <w:i/>
          <w:i/>
          <w:iCs/>
          <w:u w:val="none"/>
        </w:rPr>
      </w:pPr>
      <w:r>
        <w:rPr>
          <w:i/>
          <w:iCs/>
          <w:u w:val="none"/>
        </w:rPr>
      </w:r>
    </w:p>
    <w:p>
      <w:pPr>
        <w:pStyle w:val="BodyTextIndent3"/>
        <w:ind w:hanging="540" w:start="1260" w:end="0"/>
        <w:rPr>
          <w:i/>
          <w:i/>
          <w:iCs/>
          <w:u w:val="none"/>
        </w:rPr>
      </w:pPr>
      <w:r>
        <w:rPr>
          <w:i/>
          <w:iCs/>
          <w:u w:val="none"/>
        </w:rPr>
        <w:t>Schedule 2.8(d) – Encumbrances</w:t>
      </w:r>
    </w:p>
    <w:p>
      <w:pPr>
        <w:pStyle w:val="BodyTextIndent3"/>
        <w:ind w:hanging="540" w:start="1260" w:end="0"/>
        <w:rPr>
          <w:i/>
          <w:i/>
          <w:iCs/>
          <w:u w:val="none"/>
        </w:rPr>
      </w:pPr>
      <w:r>
        <w:rPr>
          <w:i/>
          <w:iCs/>
          <w:u w:val="none"/>
        </w:rPr>
        <w:tab/>
        <w:tab/>
        <w:tab/>
        <w:t>Schedule “A”</w:t>
        <w:tab/>
        <w:t>- Laterals with non-use provisions</w:t>
      </w:r>
    </w:p>
    <w:p>
      <w:pPr>
        <w:pStyle w:val="BodyTextIndent3"/>
        <w:ind w:hanging="540" w:start="1260" w:end="0"/>
        <w:rPr>
          <w:i/>
          <w:i/>
          <w:iCs/>
          <w:u w:val="none"/>
        </w:rPr>
      </w:pPr>
      <w:r>
        <w:rPr>
          <w:i/>
          <w:iCs/>
          <w:u w:val="none"/>
        </w:rPr>
        <w:tab/>
        <w:tab/>
        <w:tab/>
        <w:t>Schedule “B”</w:t>
        <w:tab/>
        <w:t>- Out-of-Service Lines</w:t>
      </w:r>
    </w:p>
    <w:p>
      <w:pPr>
        <w:pStyle w:val="BodyTextIndent3"/>
        <w:ind w:hanging="540" w:start="1260" w:end="0"/>
        <w:rPr>
          <w:i/>
          <w:i/>
          <w:iCs/>
          <w:u w:val="none"/>
        </w:rPr>
      </w:pPr>
      <w:r>
        <w:rPr>
          <w:i/>
          <w:iCs/>
          <w:u w:val="none"/>
        </w:rPr>
        <w:tab/>
        <w:tab/>
        <w:tab/>
        <w:t>Schedule “C”</w:t>
        <w:tab/>
        <w:t>- ROWs without conveyance documents</w:t>
      </w:r>
    </w:p>
    <w:p>
      <w:pPr>
        <w:pStyle w:val="BodyTextIndent3"/>
        <w:ind w:start="0" w:end="0"/>
        <w:rPr>
          <w:i/>
          <w:i/>
          <w:iCs/>
          <w:u w:val="none"/>
        </w:rPr>
      </w:pPr>
      <w:r>
        <w:rPr>
          <w:i/>
          <w:iCs/>
          <w:u w:val="none"/>
        </w:rPr>
      </w:r>
    </w:p>
    <w:p>
      <w:pPr>
        <w:pStyle w:val="BodyTextIndent3"/>
        <w:ind w:start="0" w:end="0"/>
        <w:rPr>
          <w:b/>
          <w:bCs/>
          <w:i/>
          <w:i/>
          <w:iCs/>
        </w:rPr>
      </w:pPr>
      <w:r>
        <w:rPr>
          <w:b/>
          <w:bCs/>
          <w:i/>
          <w:iCs/>
        </w:rPr>
        <w:t>Bridgeline Position:</w:t>
      </w:r>
    </w:p>
    <w:p>
      <w:pPr>
        <w:pStyle w:val="BodyTextIndent3"/>
        <w:ind w:hanging="540" w:start="1260" w:end="0"/>
        <w:rPr>
          <w:b/>
          <w:bCs/>
          <w:i/>
          <w:i/>
          <w:iCs/>
          <w:u w:val="none"/>
        </w:rPr>
      </w:pPr>
      <w:r>
        <w:rPr>
          <w:b/>
          <w:bCs/>
          <w:i/>
          <w:iCs/>
          <w:u w:val="none"/>
        </w:rPr>
      </w:r>
    </w:p>
    <w:p>
      <w:pPr>
        <w:pStyle w:val="BodyTextIndent3"/>
        <w:ind w:hanging="720" w:end="0"/>
        <w:rPr>
          <w:i/>
          <w:i/>
          <w:iCs/>
          <w:u w:val="none"/>
        </w:rPr>
      </w:pPr>
      <w:r>
        <w:rPr>
          <w:i/>
          <w:iCs/>
          <w:u w:val="none"/>
        </w:rPr>
        <w:t>3.</w:t>
        <w:tab/>
        <w:t>BHLP Position: BHLP will research the laterals and determine what, if any, correction is required to resolve them.  Enron will reimburse BHLP for the expenses to do the research and to take any corrective actions.</w:t>
      </w:r>
    </w:p>
    <w:p>
      <w:pPr>
        <w:pStyle w:val="BodyTextIndent3"/>
        <w:ind w:hanging="540" w:start="540" w:end="0"/>
        <w:rPr>
          <w:i/>
          <w:i/>
          <w:iCs/>
          <w:u w:val="none"/>
        </w:rPr>
      </w:pPr>
      <w:r>
        <w:rPr>
          <w:i/>
          <w:iCs/>
          <w:u w:val="none"/>
        </w:rPr>
      </w:r>
    </w:p>
    <w:p>
      <w:pPr>
        <w:pStyle w:val="BodyTextIndent3"/>
        <w:ind w:hanging="720" w:end="0"/>
        <w:rPr>
          <w:i/>
          <w:i/>
          <w:iCs/>
          <w:u w:val="none"/>
        </w:rPr>
      </w:pPr>
      <w:r>
        <w:rPr>
          <w:i/>
          <w:iCs/>
          <w:u w:val="none"/>
        </w:rPr>
        <w:t>4.</w:t>
        <w:tab/>
        <w:t>It will take 3 – 6 months to complete the research.  The following information is being collected on each lateral.  I guess that the cost will be $15,000 to $25,000 to complete the research.</w:t>
      </w:r>
    </w:p>
    <w:p>
      <w:pPr>
        <w:pStyle w:val="BodyTextIndent3"/>
        <w:ind w:hanging="540" w:start="1260" w:end="0"/>
        <w:rPr>
          <w:i/>
          <w:i/>
          <w:iCs/>
          <w:u w:val="none"/>
        </w:rPr>
      </w:pPr>
      <w:r>
        <w:rPr>
          <w:i/>
          <w:iCs/>
          <w:u w:val="none"/>
        </w:rPr>
      </w:r>
    </w:p>
    <w:p>
      <w:pPr>
        <w:pStyle w:val="BodyTextIndent3"/>
        <w:ind w:hanging="540" w:start="1260" w:end="0"/>
        <w:rPr>
          <w:i/>
          <w:i/>
          <w:iCs/>
          <w:u w:val="none"/>
        </w:rPr>
      </w:pPr>
      <w:r>
        <w:rPr>
          <w:i/>
          <w:iCs/>
          <w:u w:val="none"/>
        </w:rPr>
        <w:t>A.</w:t>
        <w:tab/>
        <w:t>Is there gas flowing through them?</w:t>
      </w:r>
    </w:p>
    <w:p>
      <w:pPr>
        <w:pStyle w:val="BodyTextIndent3"/>
        <w:ind w:hanging="540" w:start="1260" w:end="0"/>
        <w:rPr>
          <w:i/>
          <w:i/>
          <w:iCs/>
          <w:u w:val="none"/>
        </w:rPr>
      </w:pPr>
      <w:r>
        <w:rPr>
          <w:i/>
          <w:iCs/>
          <w:u w:val="none"/>
        </w:rPr>
        <w:t>B.</w:t>
        <w:tab/>
        <w:t>What are the liabilities?</w:t>
      </w:r>
    </w:p>
    <w:p>
      <w:pPr>
        <w:pStyle w:val="BodyTextIndent3"/>
        <w:ind w:hanging="540" w:start="1260" w:end="0"/>
        <w:rPr>
          <w:i/>
          <w:i/>
          <w:iCs/>
          <w:u w:val="none"/>
        </w:rPr>
      </w:pPr>
      <w:r>
        <w:rPr>
          <w:i/>
          <w:iCs/>
          <w:u w:val="none"/>
        </w:rPr>
        <w:t>B.</w:t>
        <w:tab/>
        <w:t>Are there any drilling or other obvious reasons to keep the laterals active?</w:t>
      </w:r>
    </w:p>
    <w:p>
      <w:pPr>
        <w:pStyle w:val="BodyTextIndent3"/>
        <w:ind w:hanging="540" w:start="1260" w:end="0"/>
        <w:rPr>
          <w:i/>
          <w:i/>
          <w:iCs/>
          <w:u w:val="none"/>
        </w:rPr>
      </w:pPr>
      <w:r>
        <w:rPr>
          <w:i/>
          <w:iCs/>
          <w:u w:val="none"/>
        </w:rPr>
      </w:r>
    </w:p>
    <w:p>
      <w:pPr>
        <w:pStyle w:val="Normal"/>
        <w:ind w:hanging="720" w:start="720" w:end="0"/>
        <w:rPr>
          <w:i/>
          <w:i/>
          <w:iCs/>
        </w:rPr>
      </w:pPr>
      <w:r>
        <w:rPr>
          <w:i/>
          <w:iCs/>
        </w:rPr>
        <w:t>5.</w:t>
        <w:tab/>
        <w:t>There may be some discretion on how to correct the issue for each lateral.  It will take 3 – 6 months to resolve obvious ROW agreements, plus establish an action plan for the non-flowing laterals.</w:t>
      </w:r>
    </w:p>
    <w:p>
      <w:pPr>
        <w:pStyle w:val="Normal"/>
        <w:rPr/>
      </w:pPr>
      <w:r>
        <w:rPr/>
      </w:r>
    </w:p>
    <w:p>
      <w:pPr>
        <w:pStyle w:val="Normal"/>
        <w:rPr/>
      </w:pPr>
      <w:r>
        <w:rPr/>
      </w:r>
    </w:p>
    <w:p>
      <w:pPr>
        <w:pStyle w:val="Normal"/>
        <w:rPr>
          <w:b/>
          <w:bCs/>
          <w:i/>
          <w:i/>
          <w:iCs/>
          <w:color w:val="0000FF"/>
          <w:u w:val="single"/>
        </w:rPr>
      </w:pPr>
      <w:r>
        <w:rPr>
          <w:b/>
          <w:bCs/>
          <w:i/>
          <w:iCs/>
          <w:color w:val="0000FF"/>
          <w:u w:val="single"/>
        </w:rPr>
        <w:t>Enron Comments</w:t>
      </w:r>
    </w:p>
    <w:p>
      <w:pPr>
        <w:pStyle w:val="Normal"/>
        <w:rPr>
          <w:b/>
          <w:bCs/>
          <w:i/>
          <w:i/>
          <w:iCs/>
          <w:color w:val="0000FF"/>
          <w:u w:val="single"/>
        </w:rPr>
      </w:pPr>
      <w:r>
        <w:rPr>
          <w:b/>
          <w:bCs/>
          <w:i/>
          <w:iCs/>
          <w:color w:val="0000FF"/>
          <w:u w:val="single"/>
        </w:rPr>
      </w:r>
    </w:p>
    <w:p>
      <w:pPr>
        <w:pStyle w:val="Normal"/>
        <w:jc w:val="both"/>
        <w:rPr/>
      </w:pPr>
      <w:r>
        <w:rPr>
          <w:color w:val="0000FF"/>
        </w:rPr>
        <w:t xml:space="preserve">The relevent provisions of the agreements are Section 2.8(d) and 5.8 of the Contribution Agreement.  The Enron Partners represented and warranted in Section 2.8(d) of the Contribution Agreement that BHLP would have good and marketable title to the Enron Assets </w:t>
      </w:r>
      <w:r>
        <w:rPr>
          <w:b/>
          <w:bCs/>
          <w:color w:val="0000FF"/>
          <w:u w:val="single"/>
        </w:rPr>
        <w:t>except</w:t>
      </w:r>
      <w:r>
        <w:rPr>
          <w:color w:val="0000FF"/>
        </w:rPr>
        <w:t xml:space="preserve"> as set forth on Schedule 2.8(d) which BHLP references in its comments.  None of the Project Agreements contain an obligation on Enron to remedy any ecumbrances set forth in Schedule 2.8(d).  Section 5.8 of the Contribution Agreement requires Enron, upon the request of Texaco “to remedy an </w:t>
      </w:r>
      <w:r>
        <w:rPr>
          <w:b/>
          <w:bCs/>
          <w:color w:val="0000FF"/>
          <w:u w:val="single"/>
        </w:rPr>
        <w:t>material</w:t>
      </w:r>
      <w:r>
        <w:rPr>
          <w:color w:val="0000FF"/>
        </w:rPr>
        <w:t xml:space="preserve"> right of way, fee, or title deficiencies, or any right of way, fee or title deficiencies which the Partnership is </w:t>
      </w:r>
      <w:r>
        <w:rPr>
          <w:b/>
          <w:bCs/>
          <w:color w:val="0000FF"/>
          <w:u w:val="single"/>
        </w:rPr>
        <w:t>reasonably</w:t>
      </w:r>
      <w:r>
        <w:rPr>
          <w:color w:val="0000FF"/>
        </w:rPr>
        <w:t xml:space="preserve"> required to correct” (emphasis added).  This provision only requires Enron to remedy any deficiencies which are material to the operation of the Enron Assets or which BHLP is reasonably required by a third party to correct.  Enron has no obligation to fund any study for such encumbrances and to blanket remedy all encumbrances except as stated above.  If BHLP decides to remedy any encumbrances as a result of its business decisions to operate the Enron Assets in a manner differently than Enron, then such remedy would be a BHLP expense. </w:t>
      </w:r>
    </w:p>
    <w:p>
      <w:pPr>
        <w:pStyle w:val="Normal"/>
        <w:rPr>
          <w:color w:val="0000FF"/>
        </w:rPr>
      </w:pPr>
      <w:r>
        <w:rPr>
          <w:color w:val="0000FF"/>
        </w:rPr>
      </w:r>
    </w:p>
    <w:p>
      <w:pPr>
        <w:pStyle w:val="Normal"/>
        <w:rPr/>
      </w:pPr>
      <w:r>
        <w:rPr/>
      </w:r>
    </w:p>
    <w:p>
      <w:pPr>
        <w:pStyle w:val="Normal"/>
        <w:rPr/>
      </w:pPr>
      <w:r>
        <w:rPr/>
      </w:r>
    </w:p>
    <w:p>
      <w:pPr>
        <w:pStyle w:val="Normal"/>
        <w:rPr/>
      </w:pPr>
      <w:r>
        <w:rPr/>
      </w:r>
      <w:r>
        <w:br w:type="page"/>
      </w:r>
    </w:p>
    <w:p>
      <w:pPr>
        <w:pStyle w:val="BodyTextIndent3"/>
        <w:ind w:hanging="540" w:start="540" w:end="0"/>
        <w:rPr>
          <w:b/>
          <w:bCs/>
        </w:rPr>
      </w:pPr>
      <w:r>
        <w:rPr>
          <w:b/>
          <w:bCs/>
        </w:rPr>
        <w:t>OBA</w:t>
      </w:r>
    </w:p>
    <w:p>
      <w:pPr>
        <w:pStyle w:val="BodyTextIndent3"/>
        <w:ind w:hanging="540" w:start="1260" w:end="0"/>
        <w:rPr>
          <w:u w:val="none"/>
        </w:rPr>
      </w:pPr>
      <w:r>
        <w:rPr>
          <w:u w:val="none"/>
        </w:rPr>
      </w:r>
    </w:p>
    <w:p>
      <w:pPr>
        <w:pStyle w:val="BodyTextIndent3"/>
        <w:ind w:hanging="360" w:start="360" w:end="0"/>
        <w:rPr>
          <w:b/>
          <w:bCs/>
          <w:i/>
          <w:i/>
          <w:iCs/>
        </w:rPr>
      </w:pPr>
      <w:r>
        <w:rPr>
          <w:b/>
          <w:bCs/>
          <w:i/>
          <w:iCs/>
        </w:rPr>
        <w:t>Bridgeline Comments:</w:t>
      </w:r>
    </w:p>
    <w:p>
      <w:pPr>
        <w:pStyle w:val="BodyTextIndent3"/>
        <w:ind w:hanging="360" w:start="360" w:end="0"/>
        <w:rPr>
          <w:b/>
          <w:bCs/>
          <w:i/>
          <w:i/>
          <w:iCs/>
          <w:u w:val="none"/>
        </w:rPr>
      </w:pPr>
      <w:r>
        <w:rPr>
          <w:b/>
          <w:bCs/>
          <w:i/>
          <w:iCs/>
          <w:u w:val="none"/>
        </w:rPr>
      </w:r>
    </w:p>
    <w:p>
      <w:pPr>
        <w:pStyle w:val="BodyTextIndent3"/>
        <w:ind w:hanging="720" w:end="0"/>
        <w:rPr/>
      </w:pPr>
      <w:r>
        <w:rPr>
          <w:i/>
          <w:iCs/>
          <w:u w:val="none"/>
        </w:rPr>
        <w:t>1.</w:t>
        <w:tab/>
        <w:t>Connected pipelines expect BHLP to repay the OBA that existed on February 28</w:t>
      </w:r>
      <w:r>
        <w:rPr>
          <w:i/>
          <w:iCs/>
          <w:u w:val="none"/>
          <w:vertAlign w:val="superscript"/>
        </w:rPr>
        <w:t>th</w:t>
      </w:r>
      <w:r>
        <w:rPr>
          <w:i/>
          <w:iCs/>
          <w:u w:val="none"/>
        </w:rPr>
        <w:t>, 2000.  Enron and some of the connected parties have not agreed on the MMBTU imbalance.</w:t>
      </w:r>
    </w:p>
    <w:p>
      <w:pPr>
        <w:pStyle w:val="BodyTextIndent3"/>
        <w:ind w:hanging="720" w:end="0"/>
        <w:rPr>
          <w:i/>
          <w:i/>
          <w:iCs/>
          <w:u w:val="none"/>
        </w:rPr>
      </w:pPr>
      <w:r>
        <w:rPr>
          <w:i/>
          <w:iCs/>
          <w:u w:val="none"/>
        </w:rPr>
      </w:r>
    </w:p>
    <w:p>
      <w:pPr>
        <w:pStyle w:val="BodyTextIndent3"/>
        <w:ind w:hanging="720" w:end="0"/>
        <w:rPr>
          <w:i/>
          <w:i/>
          <w:iCs/>
          <w:u w:val="none"/>
        </w:rPr>
      </w:pPr>
      <w:r>
        <w:rPr>
          <w:i/>
          <w:iCs/>
          <w:u w:val="none"/>
        </w:rPr>
        <w:t>2.</w:t>
        <w:tab/>
        <w:t>Contribution Agreement:  As per Schedule ???, Enron would be responsible for settling any OBAs that existed pre-merger.</w:t>
      </w:r>
    </w:p>
    <w:p>
      <w:pPr>
        <w:pStyle w:val="BodyTextIndent3"/>
        <w:ind w:hanging="360" w:end="0"/>
        <w:rPr>
          <w:i/>
          <w:i/>
          <w:iCs/>
          <w:u w:val="none"/>
        </w:rPr>
      </w:pPr>
      <w:r>
        <w:rPr>
          <w:i/>
          <w:iCs/>
          <w:u w:val="none"/>
        </w:rPr>
      </w:r>
    </w:p>
    <w:p>
      <w:pPr>
        <w:pStyle w:val="BodyTextIndent3"/>
        <w:ind w:start="0" w:end="0"/>
        <w:rPr>
          <w:i/>
          <w:i/>
          <w:iCs/>
          <w:u w:val="none"/>
        </w:rPr>
      </w:pPr>
      <w:r>
        <w:rPr>
          <w:i/>
          <w:iCs/>
          <w:u w:val="none"/>
        </w:rPr>
        <w:t>3.</w:t>
        <w:tab/>
        <w:t>BHLP Position: The imbalances need to be completed.</w:t>
      </w:r>
    </w:p>
    <w:p>
      <w:pPr>
        <w:pStyle w:val="BodyTextIndent3"/>
        <w:ind w:hanging="360" w:end="0"/>
        <w:rPr>
          <w:i/>
          <w:i/>
          <w:iCs/>
          <w:u w:val="none"/>
        </w:rPr>
      </w:pPr>
      <w:r>
        <w:rPr>
          <w:i/>
          <w:iCs/>
          <w:u w:val="none"/>
        </w:rPr>
      </w:r>
    </w:p>
    <w:p>
      <w:pPr>
        <w:pStyle w:val="BodyTextIndent3"/>
        <w:ind w:hanging="720" w:end="0"/>
        <w:rPr>
          <w:i/>
          <w:i/>
          <w:iCs/>
          <w:u w:val="none"/>
        </w:rPr>
      </w:pPr>
      <w:r>
        <w:rPr>
          <w:i/>
          <w:iCs/>
          <w:u w:val="none"/>
        </w:rPr>
        <w:t>4.</w:t>
        <w:tab/>
        <w:t>Factors:  The other parties associate the imbalances with BHLP and don’t distinguish per-merger MMBTUs separately.</w:t>
      </w:r>
    </w:p>
    <w:p>
      <w:pPr>
        <w:pStyle w:val="BodyTextIndent3"/>
        <w:ind w:hanging="720" w:end="0"/>
        <w:rPr>
          <w:i/>
          <w:i/>
          <w:iCs/>
          <w:u w:val="none"/>
        </w:rPr>
      </w:pPr>
      <w:r>
        <w:rPr>
          <w:i/>
          <w:iCs/>
          <w:u w:val="none"/>
        </w:rPr>
      </w:r>
    </w:p>
    <w:p>
      <w:pPr>
        <w:pStyle w:val="BodyTextIndent3"/>
        <w:ind w:hanging="720" w:end="0"/>
        <w:rPr>
          <w:i/>
          <w:i/>
          <w:iCs/>
          <w:u w:val="none"/>
        </w:rPr>
      </w:pPr>
      <w:r>
        <w:rPr>
          <w:i/>
          <w:iCs/>
          <w:u w:val="none"/>
        </w:rPr>
        <w:t>5.</w:t>
        <w:tab/>
        <w:t>Schedule</w:t>
      </w:r>
    </w:p>
    <w:p>
      <w:pPr>
        <w:pStyle w:val="BodyTextIndent3"/>
        <w:ind w:hanging="360" w:start="360" w:end="0"/>
        <w:rPr>
          <w:u w:val="none"/>
        </w:rPr>
      </w:pPr>
      <w:r>
        <w:rPr>
          <w:u w:val="none"/>
        </w:rPr>
        <w:tab/>
        <w:tab/>
        <w:tab/>
      </w:r>
    </w:p>
    <w:p>
      <w:pPr>
        <w:pStyle w:val="BodyTextIndent3"/>
        <w:ind w:start="360" w:end="0"/>
        <w:rPr/>
      </w:pPr>
      <w:r>
        <w:rPr>
          <w:sz w:val="16"/>
          <w:u w:val="none"/>
        </w:rPr>
        <w:tab/>
        <w:tab/>
        <w:tab/>
        <w:t>Enron</w:t>
        <w:tab/>
        <w:tab/>
        <w:tab/>
        <w:tab/>
        <w:tab/>
        <w:t>3</w:t>
      </w:r>
      <w:r>
        <w:rPr>
          <w:sz w:val="16"/>
          <w:u w:val="none"/>
          <w:vertAlign w:val="superscript"/>
        </w:rPr>
        <w:t>rd</w:t>
      </w:r>
      <w:r>
        <w:rPr>
          <w:sz w:val="16"/>
          <w:u w:val="none"/>
        </w:rPr>
        <w:t xml:space="preserve"> Party</w:t>
        <w:tab/>
      </w:r>
    </w:p>
    <w:p>
      <w:pPr>
        <w:pStyle w:val="BodyTextIndent3"/>
        <w:ind w:start="360" w:end="0"/>
        <w:rPr/>
      </w:pPr>
      <w:r>
        <w:rPr>
          <w:sz w:val="16"/>
        </w:rPr>
        <w:t>Pipeline</w:t>
      </w:r>
      <w:r>
        <w:rPr>
          <w:sz w:val="16"/>
          <w:u w:val="none"/>
        </w:rPr>
        <w:tab/>
        <w:tab/>
      </w:r>
      <w:r>
        <w:rPr>
          <w:sz w:val="16"/>
        </w:rPr>
        <w:t>MMBTU</w:t>
      </w:r>
      <w:r>
        <w:rPr>
          <w:sz w:val="16"/>
          <w:u w:val="none"/>
        </w:rPr>
        <w:tab/>
      </w:r>
      <w:r>
        <w:rPr>
          <w:sz w:val="16"/>
        </w:rPr>
        <w:t>Pipeline Contact</w:t>
      </w:r>
      <w:r>
        <w:rPr>
          <w:sz w:val="16"/>
          <w:u w:val="none"/>
        </w:rPr>
        <w:tab/>
      </w:r>
      <w:r>
        <w:rPr>
          <w:sz w:val="16"/>
        </w:rPr>
        <w:t>Phone Contact</w:t>
      </w:r>
      <w:r>
        <w:rPr>
          <w:sz w:val="16"/>
          <w:u w:val="none"/>
        </w:rPr>
        <w:tab/>
      </w:r>
      <w:r>
        <w:rPr>
          <w:sz w:val="16"/>
        </w:rPr>
        <w:t>MMBTU</w:t>
      </w:r>
      <w:r>
        <w:rPr>
          <w:sz w:val="16"/>
          <w:u w:val="none"/>
        </w:rPr>
        <w:tab/>
      </w:r>
      <w:r>
        <w:rPr>
          <w:sz w:val="16"/>
        </w:rPr>
        <w:t>Comment</w:t>
      </w:r>
    </w:p>
    <w:p>
      <w:pPr>
        <w:pStyle w:val="BodyTextIndent3"/>
        <w:ind w:start="360" w:end="0"/>
        <w:rPr>
          <w:sz w:val="16"/>
          <w:u w:val="none"/>
        </w:rPr>
      </w:pPr>
      <w:r>
        <w:rPr>
          <w:sz w:val="16"/>
          <w:u w:val="none"/>
        </w:rPr>
        <w:t>ANR</w:t>
        <w:tab/>
        <w:tab/>
        <w:tab/>
        <w:t>620</w:t>
        <w:tab/>
        <w:t>Fab Dungy</w:t>
        <w:tab/>
        <w:tab/>
        <w:t>313-496-3688</w:t>
        <w:tab/>
        <w:t>620</w:t>
        <w:tab/>
        <w:t>Have not shown this</w:t>
      </w:r>
    </w:p>
    <w:p>
      <w:pPr>
        <w:pStyle w:val="BodyTextIndent3"/>
        <w:ind w:start="360" w:end="0"/>
        <w:rPr>
          <w:sz w:val="16"/>
          <w:u w:val="none"/>
        </w:rPr>
      </w:pPr>
      <w:r>
        <w:rPr>
          <w:sz w:val="16"/>
          <w:u w:val="none"/>
        </w:rPr>
        <w:t>BGD</w:t>
        <w:tab/>
        <w:tab/>
        <w:tab/>
        <w:t>42,252</w:t>
        <w:tab/>
        <w:t>Briant Baker</w:t>
        <w:tab/>
        <w:t>713-646-6459</w:t>
        <w:tab/>
        <w:t>42,252</w:t>
        <w:tab/>
        <w:t>Both agree</w:t>
      </w:r>
    </w:p>
    <w:p>
      <w:pPr>
        <w:pStyle w:val="BodyTextIndent3"/>
        <w:ind w:start="360" w:end="0"/>
        <w:rPr>
          <w:sz w:val="16"/>
          <w:u w:val="none"/>
        </w:rPr>
      </w:pPr>
      <w:r>
        <w:rPr>
          <w:sz w:val="16"/>
          <w:u w:val="none"/>
        </w:rPr>
        <w:t>COLUMBIA GULF</w:t>
        <w:tab/>
        <w:t>36,071</w:t>
        <w:tab/>
        <w:t>Judy Smith</w:t>
        <w:tab/>
        <w:t>713-267-4236</w:t>
        <w:tab/>
        <w:t>36,071</w:t>
        <w:tab/>
        <w:t>Have not shown this</w:t>
      </w:r>
    </w:p>
    <w:p>
      <w:pPr>
        <w:pStyle w:val="BodyTextIndent3"/>
        <w:ind w:start="360" w:end="0"/>
        <w:rPr>
          <w:sz w:val="16"/>
          <w:u w:val="none"/>
        </w:rPr>
      </w:pPr>
      <w:r>
        <w:rPr>
          <w:sz w:val="16"/>
          <w:u w:val="none"/>
        </w:rPr>
        <w:t>FLORIDA</w:t>
        <w:tab/>
        <w:tab/>
        <w:t>15,870</w:t>
        <w:tab/>
        <w:t>Tim Cooper</w:t>
        <w:tab/>
        <w:t>713-345-5996</w:t>
        <w:tab/>
        <w:t>15,870</w:t>
        <w:tab/>
        <w:t>Have not shown this</w:t>
      </w:r>
    </w:p>
    <w:p>
      <w:pPr>
        <w:pStyle w:val="BodyTextIndent3"/>
        <w:ind w:start="360" w:end="0"/>
        <w:rPr>
          <w:sz w:val="16"/>
          <w:u w:val="none"/>
        </w:rPr>
      </w:pPr>
      <w:r>
        <w:rPr>
          <w:sz w:val="16"/>
          <w:u w:val="none"/>
        </w:rPr>
        <w:t>KOCH</w:t>
        <w:tab/>
        <w:tab/>
        <w:t>12,754</w:t>
        <w:tab/>
        <w:t>Rebecca Cyrus</w:t>
        <w:tab/>
        <w:t>713-544-5541</w:t>
        <w:tab/>
        <w:t>(1,182)</w:t>
        <w:tab/>
        <w:t>Koch shows (1,182)</w:t>
      </w:r>
    </w:p>
    <w:p>
      <w:pPr>
        <w:pStyle w:val="BodyTextIndent3"/>
        <w:ind w:start="360" w:end="0"/>
        <w:rPr>
          <w:sz w:val="16"/>
          <w:u w:val="none"/>
        </w:rPr>
      </w:pPr>
      <w:r>
        <w:rPr>
          <w:sz w:val="16"/>
          <w:u w:val="none"/>
        </w:rPr>
        <w:t>NGPL</w:t>
        <w:tab/>
        <w:tab/>
        <w:t>(6,445)</w:t>
        <w:tab/>
        <w:t>Bill Low</w:t>
        <w:tab/>
        <w:tab/>
        <w:t>713-369-9382</w:t>
        <w:tab/>
        <w:t>(5,702)</w:t>
        <w:tab/>
        <w:t>NGPL shows (5,702)</w:t>
      </w:r>
    </w:p>
    <w:p>
      <w:pPr>
        <w:pStyle w:val="BodyTextIndent3"/>
        <w:ind w:start="360" w:end="0"/>
        <w:rPr>
          <w:sz w:val="16"/>
          <w:u w:val="none"/>
        </w:rPr>
      </w:pPr>
      <w:r>
        <w:rPr>
          <w:sz w:val="16"/>
          <w:u w:val="none"/>
        </w:rPr>
        <w:t>SABINE</w:t>
        <w:tab/>
        <w:tab/>
        <w:t>123,652</w:t>
        <w:tab/>
        <w:t>Clay Cook</w:t>
        <w:tab/>
        <w:tab/>
        <w:t>713-752-6041</w:t>
        <w:tab/>
        <w:t>-</w:t>
        <w:tab/>
        <w:t>Sabine shows 0, due to cashout</w:t>
      </w:r>
    </w:p>
    <w:p>
      <w:pPr>
        <w:pStyle w:val="BodyTextIndent3"/>
        <w:ind w:start="360" w:end="0"/>
        <w:rPr>
          <w:sz w:val="16"/>
          <w:u w:val="none"/>
        </w:rPr>
      </w:pPr>
      <w:r>
        <w:rPr>
          <w:sz w:val="16"/>
          <w:u w:val="none"/>
        </w:rPr>
        <w:t>SEA ROBIN</w:t>
        <w:tab/>
        <w:tab/>
        <w:t>58,090</w:t>
        <w:tab/>
        <w:t>Maria Willis</w:t>
        <w:tab/>
        <w:t>713-989-7586</w:t>
        <w:tab/>
        <w:t>-</w:t>
        <w:tab/>
        <w:t>SR shows 0, due to cashout</w:t>
      </w:r>
    </w:p>
    <w:p>
      <w:pPr>
        <w:pStyle w:val="BodyTextIndent3"/>
        <w:ind w:start="360" w:end="0"/>
        <w:rPr>
          <w:sz w:val="16"/>
          <w:u w:val="none"/>
        </w:rPr>
      </w:pPr>
      <w:r>
        <w:rPr>
          <w:sz w:val="16"/>
          <w:u w:val="none"/>
        </w:rPr>
        <w:t>STINGRAY</w:t>
        <w:tab/>
        <w:tab/>
        <w:t>(11,973)</w:t>
        <w:tab/>
        <w:t>Ada Walgren</w:t>
        <w:tab/>
        <w:t>713-420-4653</w:t>
        <w:tab/>
        <w:t>(11,973)</w:t>
        <w:tab/>
        <w:t>Both agree</w:t>
      </w:r>
    </w:p>
    <w:p>
      <w:pPr>
        <w:pStyle w:val="BodyTextIndent3"/>
        <w:ind w:start="360" w:end="0"/>
        <w:rPr>
          <w:sz w:val="16"/>
          <w:u w:val="none"/>
        </w:rPr>
      </w:pPr>
      <w:r>
        <w:rPr>
          <w:sz w:val="16"/>
          <w:u w:val="none"/>
        </w:rPr>
        <w:t>TENNESSEE</w:t>
        <w:tab/>
        <w:tab/>
        <w:t>(5,087)</w:t>
        <w:tab/>
        <w:t>Gary Frase</w:t>
        <w:tab/>
        <w:tab/>
        <w:t>713-420-3946</w:t>
        <w:tab/>
        <w:t>-</w:t>
        <w:tab/>
        <w:t>Tenn shows 0, due to cashout</w:t>
      </w:r>
    </w:p>
    <w:p>
      <w:pPr>
        <w:pStyle w:val="BodyTextIndent3"/>
        <w:ind w:start="360" w:end="0"/>
        <w:rPr>
          <w:sz w:val="16"/>
          <w:u w:val="none"/>
        </w:rPr>
      </w:pPr>
      <w:r>
        <w:rPr>
          <w:sz w:val="16"/>
          <w:u w:val="none"/>
        </w:rPr>
        <w:t>TETCO</w:t>
        <w:tab/>
        <w:tab/>
        <w:t>42,431</w:t>
        <w:tab/>
        <w:t>Beverly Jackson</w:t>
        <w:tab/>
        <w:t>713-627-4730</w:t>
        <w:tab/>
        <w:t>50,988</w:t>
        <w:tab/>
        <w:t>Tetco shows 50,988</w:t>
      </w:r>
    </w:p>
    <w:p>
      <w:pPr>
        <w:pStyle w:val="BodyTextIndent3"/>
        <w:ind w:start="360" w:end="0"/>
        <w:rPr/>
      </w:pPr>
      <w:r>
        <w:rPr>
          <w:sz w:val="16"/>
          <w:u w:val="none"/>
        </w:rPr>
        <w:t>TEXAS GAS</w:t>
        <w:tab/>
        <w:tab/>
        <w:t>(20,623)</w:t>
        <w:tab/>
        <w:t>Sherri Wilson</w:t>
        <w:tab/>
        <w:t>270-688-6798</w:t>
        <w:tab/>
        <w:t>(20,623)</w:t>
        <w:tab/>
        <w:t>Have not shown this</w:t>
      </w:r>
      <w:r>
        <w:rPr>
          <w:vanish/>
          <w:sz w:val="16"/>
          <w:u w:val="none"/>
        </w:rPr>
        <w:t>Hav</w:t>
      </w:r>
    </w:p>
    <w:p>
      <w:pPr>
        <w:pStyle w:val="BodyTextIndent3"/>
        <w:ind w:hanging="360" w:end="0"/>
        <w:rPr>
          <w:vanish/>
          <w:sz w:val="16"/>
          <w:u w:val="none"/>
        </w:rPr>
      </w:pPr>
      <w:r>
        <w:rPr>
          <w:vanish/>
          <w:sz w:val="16"/>
          <w:u w:val="none"/>
        </w:rPr>
      </w:r>
    </w:p>
    <w:p>
      <w:pPr>
        <w:pStyle w:val="BodyTextIndent3"/>
        <w:ind w:hanging="360" w:end="0"/>
        <w:rPr>
          <w:u w:val="none"/>
        </w:rPr>
      </w:pPr>
      <w:r>
        <w:rPr>
          <w:u w:val="none"/>
        </w:rPr>
        <w:tab/>
      </w:r>
    </w:p>
    <w:p>
      <w:pPr>
        <w:pStyle w:val="BodyTextIndent3"/>
        <w:rPr>
          <w:b/>
          <w:bCs/>
          <w:sz w:val="16"/>
          <w:u w:val="none"/>
        </w:rPr>
      </w:pPr>
      <w:r>
        <w:rPr>
          <w:b/>
          <w:bCs/>
          <w:sz w:val="16"/>
          <w:u w:val="none"/>
        </w:rPr>
        <w:t>TOTAL</w:t>
        <w:tab/>
        <w:tab/>
        <w:t>287,612</w:t>
        <w:tab/>
        <w:tab/>
        <w:t>Total if other is correct</w:t>
        <w:tab/>
        <w:t>106,321</w:t>
      </w:r>
    </w:p>
    <w:p>
      <w:pPr>
        <w:pStyle w:val="BodyTextIndent3"/>
        <w:rPr>
          <w:b/>
          <w:bCs/>
          <w:sz w:val="16"/>
          <w:u w:val="none"/>
        </w:rPr>
      </w:pPr>
      <w:r>
        <w:rPr>
          <w:b/>
          <w:bCs/>
          <w:sz w:val="16"/>
          <w:u w:val="none"/>
        </w:rPr>
      </w:r>
    </w:p>
    <w:p>
      <w:pPr>
        <w:pStyle w:val="BodyTextIndent3"/>
        <w:rPr>
          <w:b/>
          <w:bCs/>
          <w:sz w:val="16"/>
          <w:u w:val="none"/>
        </w:rPr>
      </w:pPr>
      <w:r>
        <w:rPr>
          <w:b/>
          <w:bCs/>
          <w:sz w:val="16"/>
          <w:u w:val="none"/>
        </w:rPr>
        <w:tab/>
        <w:t>+ Due Bridgeline (Texaco) (Enron)</w:t>
      </w:r>
    </w:p>
    <w:p>
      <w:pPr>
        <w:pStyle w:val="BodyTextIndent3"/>
        <w:rPr>
          <w:b/>
          <w:bCs/>
          <w:sz w:val="16"/>
          <w:u w:val="none"/>
        </w:rPr>
      </w:pPr>
      <w:r>
        <w:rPr>
          <w:b/>
          <w:bCs/>
          <w:sz w:val="16"/>
          <w:u w:val="none"/>
        </w:rPr>
        <w:tab/>
        <w:t>-  Due Pipeline</w:t>
      </w:r>
    </w:p>
    <w:p>
      <w:pPr>
        <w:pStyle w:val="BodyTextIndent3"/>
        <w:ind w:hanging="360" w:end="0"/>
        <w:rPr>
          <w:b/>
          <w:bCs/>
          <w:sz w:val="16"/>
          <w:u w:val="none"/>
        </w:rPr>
      </w:pPr>
      <w:r>
        <w:rPr>
          <w:b/>
          <w:bCs/>
          <w:sz w:val="16"/>
          <w:u w:val="none"/>
        </w:rPr>
      </w:r>
    </w:p>
    <w:p>
      <w:pPr>
        <w:pStyle w:val="BodyTextIndent3"/>
        <w:ind w:hanging="360" w:end="0"/>
        <w:rPr>
          <w:u w:val="none"/>
        </w:rPr>
      </w:pPr>
      <w:r>
        <w:rPr>
          <w:u w:val="none"/>
        </w:rPr>
        <w:tab/>
      </w:r>
    </w:p>
    <w:p>
      <w:pPr>
        <w:pStyle w:val="BodyTextIndent3"/>
        <w:ind w:hanging="360" w:end="0"/>
        <w:rPr>
          <w:u w:val="none"/>
        </w:rPr>
      </w:pPr>
      <w:r>
        <w:rPr>
          <w:u w:val="none"/>
        </w:rPr>
      </w:r>
    </w:p>
    <w:p>
      <w:pPr>
        <w:pStyle w:val="Normal"/>
        <w:jc w:val="both"/>
        <w:rPr>
          <w:b/>
          <w:bCs/>
          <w:i/>
          <w:i/>
          <w:iCs/>
          <w:color w:val="0000FF"/>
          <w:u w:val="single"/>
        </w:rPr>
      </w:pPr>
      <w:r>
        <w:rPr>
          <w:b/>
          <w:bCs/>
          <w:i/>
          <w:iCs/>
          <w:color w:val="0000FF"/>
          <w:u w:val="single"/>
        </w:rPr>
        <w:t>Enron Comments:</w:t>
      </w:r>
    </w:p>
    <w:p>
      <w:pPr>
        <w:pStyle w:val="Normal"/>
        <w:jc w:val="both"/>
        <w:rPr>
          <w:b/>
          <w:bCs/>
          <w:i/>
          <w:i/>
          <w:iCs/>
          <w:color w:val="0000FF"/>
          <w:u w:val="single"/>
        </w:rPr>
      </w:pPr>
      <w:r>
        <w:rPr>
          <w:b/>
          <w:bCs/>
          <w:i/>
          <w:iCs/>
          <w:color w:val="0000FF"/>
          <w:u w:val="single"/>
        </w:rPr>
      </w:r>
    </w:p>
    <w:p>
      <w:pPr>
        <w:pStyle w:val="BodyText"/>
        <w:rPr/>
      </w:pPr>
      <w:r>
        <w:rPr/>
        <w:t>Enron agrees that any imbalances that existing prior to Closing, remain with Enron.  BHLP should inform the interested parties that such imbalances are Enron’s responsibility and direct any requests or inquiries concerning such imbalances to Enron, more specifically ______________ at (713) ___________.</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1"/>
      <w:numFmt w:val="upperLetter"/>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Impact" w:hAnsi="Impact" w:cs="Impact"/>
      <w:color w:val="000000"/>
      <w:sz w:val="44"/>
      <w:szCs w:val="44"/>
    </w:rPr>
  </w:style>
  <w:style w:type="paragraph" w:styleId="Heading2">
    <w:name w:val="heading 2"/>
    <w:basedOn w:val="Normal"/>
    <w:next w:val="Normal"/>
    <w:qFormat/>
    <w:pPr>
      <w:numPr>
        <w:ilvl w:val="1"/>
        <w:numId w:val="1"/>
      </w:numPr>
      <w:autoSpaceDE w:val="false"/>
      <w:ind w:hanging="270" w:start="270" w:end="0"/>
      <w:outlineLvl w:val="1"/>
    </w:pPr>
    <w:rPr>
      <w:color w:val="000000"/>
      <w:sz w:val="32"/>
      <w:szCs w:val="32"/>
    </w:rPr>
  </w:style>
  <w:style w:type="paragraph" w:styleId="Heading3">
    <w:name w:val="heading 3"/>
    <w:basedOn w:val="Normal"/>
    <w:next w:val="Normal"/>
    <w:qFormat/>
    <w:pPr>
      <w:numPr>
        <w:ilvl w:val="2"/>
        <w:numId w:val="1"/>
      </w:numPr>
      <w:autoSpaceDE w:val="false"/>
      <w:ind w:hanging="265" w:start="625" w:end="0"/>
      <w:outlineLvl w:val="2"/>
    </w:pPr>
    <w:rPr>
      <w:color w:val="000000"/>
      <w:sz w:val="28"/>
      <w:szCs w:val="28"/>
    </w:rPr>
  </w:style>
  <w:style w:type="paragraph" w:styleId="Heading4">
    <w:name w:val="heading 4"/>
    <w:basedOn w:val="Normal"/>
    <w:next w:val="Normal"/>
    <w:qFormat/>
    <w:pPr>
      <w:numPr>
        <w:ilvl w:val="3"/>
        <w:numId w:val="1"/>
      </w:numPr>
      <w:autoSpaceDE w:val="false"/>
      <w:ind w:hanging="177" w:start="897" w:end="0"/>
      <w:outlineLvl w:val="3"/>
    </w:pPr>
    <w:rPr>
      <w:color w:val="000000"/>
    </w:rPr>
  </w:style>
  <w:style w:type="paragraph" w:styleId="Heading5">
    <w:name w:val="heading 5"/>
    <w:basedOn w:val="Normal"/>
    <w:next w:val="Normal"/>
    <w:qFormat/>
    <w:pPr>
      <w:numPr>
        <w:ilvl w:val="4"/>
        <w:numId w:val="1"/>
      </w:numPr>
      <w:autoSpaceDE w:val="false"/>
      <w:ind w:hanging="180" w:start="1260" w:end="0"/>
      <w:outlineLvl w:val="4"/>
    </w:pPr>
    <w:rPr>
      <w:color w:val="000000"/>
      <w:sz w:val="20"/>
      <w:szCs w:val="20"/>
    </w:rPr>
  </w:style>
  <w:style w:type="paragraph" w:styleId="Heading6">
    <w:name w:val="heading 6"/>
    <w:basedOn w:val="Normal"/>
    <w:next w:val="Normal"/>
    <w:qFormat/>
    <w:pPr>
      <w:numPr>
        <w:ilvl w:val="5"/>
        <w:numId w:val="1"/>
      </w:numPr>
      <w:autoSpaceDE w:val="false"/>
      <w:ind w:hanging="180" w:start="1620" w:end="0"/>
      <w:outlineLvl w:val="5"/>
    </w:pPr>
    <w:rPr>
      <w:color w:val="000000"/>
      <w:sz w:val="20"/>
      <w:szCs w:val="20"/>
    </w:rPr>
  </w:style>
  <w:style w:type="paragraph" w:styleId="Heading7">
    <w:name w:val="heading 7"/>
    <w:basedOn w:val="Normal"/>
    <w:next w:val="Normal"/>
    <w:qFormat/>
    <w:pPr>
      <w:keepNext w:val="true"/>
      <w:numPr>
        <w:ilvl w:val="6"/>
        <w:numId w:val="1"/>
      </w:numPr>
      <w:outlineLvl w:val="6"/>
    </w:pPr>
    <w:rPr>
      <w:i/>
      <w:iCs/>
    </w:rPr>
  </w:style>
  <w:style w:type="paragraph" w:styleId="Heading8">
    <w:name w:val="heading 8"/>
    <w:basedOn w:val="Normal"/>
    <w:next w:val="Normal"/>
    <w:qFormat/>
    <w:pPr>
      <w:keepNext w:val="true"/>
      <w:numPr>
        <w:ilvl w:val="7"/>
        <w:numId w:val="1"/>
      </w:numPr>
      <w:outlineLvl w:val="7"/>
    </w:pPr>
    <w:rPr>
      <w:u w:val="single"/>
    </w:rPr>
  </w:style>
  <w:style w:type="paragraph" w:styleId="Heading9">
    <w:name w:val="heading 9"/>
    <w:basedOn w:val="Normal"/>
    <w:next w:val="Normal"/>
    <w:qFormat/>
    <w:pPr>
      <w:keepNext w:val="true"/>
      <w:numPr>
        <w:ilvl w:val="8"/>
        <w:numId w:val="1"/>
      </w:numPr>
      <w:outlineLvl w:val="8"/>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St1z0">
    <w:name w:val="WW8NumSt1z0"/>
    <w:qFormat/>
    <w:rPr>
      <w:rFonts w:ascii="Wingdings" w:hAnsi="Wingdings" w:cs="Wingdings"/>
      <w:sz w:val="28"/>
    </w:rPr>
  </w:style>
  <w:style w:type="character" w:styleId="WW8NumSt2z0">
    <w:name w:val="WW8NumSt2z0"/>
    <w:qFormat/>
    <w:rPr>
      <w:rFonts w:ascii="Wingdings" w:hAnsi="Wingdings" w:cs="Wingdings"/>
      <w:sz w:val="24"/>
    </w:rPr>
  </w:style>
  <w:style w:type="character" w:styleId="WW8NumSt3z0">
    <w:name w:val="WW8NumSt3z0"/>
    <w:qFormat/>
    <w:rPr>
      <w:rFonts w:ascii="Wingdings" w:hAnsi="Wingdings" w:cs="Wingdings"/>
      <w:sz w:val="20"/>
    </w:rPr>
  </w:style>
  <w:style w:type="character" w:styleId="WW8NumSt4z0">
    <w:name w:val="WW8NumSt4z0"/>
    <w:qFormat/>
    <w:rPr>
      <w:rFonts w:ascii="Times New Roman" w:hAnsi="Times New Roman" w:cs="Times New Roman"/>
      <w:sz w:val="18"/>
    </w:rPr>
  </w:style>
  <w:style w:type="character" w:styleId="WW8NumSt5z0">
    <w:name w:val="WW8NumSt5z0"/>
    <w:qFormat/>
    <w:rPr>
      <w:rFonts w:ascii="Wingdings" w:hAnsi="Wingdings" w:cs="Wingdings"/>
      <w:sz w:val="18"/>
    </w:rPr>
  </w:style>
  <w:style w:type="character" w:styleId="WW8NumSt6z0">
    <w:name w:val="WW8NumSt6z0"/>
    <w:qFormat/>
    <w:rPr>
      <w:rFonts w:ascii="Wingdings" w:hAnsi="Wingdings" w:cs="Wingdings"/>
      <w:sz w:val="16"/>
    </w:rPr>
  </w:style>
  <w:style w:type="character" w:styleId="WW8NumSt7z0">
    <w:name w:val="WW8NumSt7z0"/>
    <w:qFormat/>
    <w:rPr>
      <w:rFonts w:ascii="Wingdings" w:hAnsi="Wingdings" w:cs="Wingdings"/>
      <w:sz w:val="14"/>
    </w:rPr>
  </w:style>
  <w:style w:type="character" w:styleId="WW8NumSt8z0">
    <w:name w:val="WW8NumSt8z0"/>
    <w:qFormat/>
    <w:rPr>
      <w:rFonts w:ascii="Wingdings" w:hAnsi="Wingdings" w:cs="Wingdings"/>
      <w:sz w:val="30"/>
    </w:rPr>
  </w:style>
  <w:style w:type="character" w:styleId="WW8NumSt9z0">
    <w:name w:val="WW8NumSt9z0"/>
    <w:qFormat/>
    <w:rPr>
      <w:rFonts w:ascii="Wingdings" w:hAnsi="Wingdings" w:cs="Wingdings"/>
      <w:sz w:val="26"/>
    </w:rPr>
  </w:style>
  <w:style w:type="character" w:styleId="WW8NumSt10z0">
    <w:name w:val="WW8NumSt10z0"/>
    <w:qFormat/>
    <w:rPr>
      <w:rFonts w:ascii="Times New Roman" w:hAnsi="Times New Roman" w:cs="Times New Roman"/>
      <w:sz w:val="16"/>
    </w:rPr>
  </w:style>
  <w:style w:type="character" w:styleId="WW8NumSt11z0">
    <w:name w:val="WW8NumSt11z0"/>
    <w:qFormat/>
    <w:rPr>
      <w:rFonts w:ascii="Times New Roman" w:hAnsi="Times New Roman" w:cs="Times New Roman"/>
      <w:sz w:val="1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tyle>
  <w:style w:type="paragraph" w:styleId="BodyTextIndent2">
    <w:name w:val="Body Text Indent 2"/>
    <w:basedOn w:val="Normal"/>
    <w:qFormat/>
    <w:pPr>
      <w:ind w:hanging="720" w:start="1440" w:end="0"/>
      <w:jc w:val="both"/>
    </w:pPr>
    <w:rPr/>
  </w:style>
  <w:style w:type="paragraph" w:styleId="BodyTextIndent3">
    <w:name w:val="Body Text Indent 3"/>
    <w:basedOn w:val="Normal"/>
    <w:qFormat/>
    <w:pPr>
      <w:ind w:hanging="0" w:start="720" w:end="0"/>
      <w:jc w:val="both"/>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2001-05-10T21:02:00Z</dcterms:created>
  <dc:creator>bredmon</dc:creator>
  <dc:description/>
  <dc:language>en-CA</dc:language>
  <cp:lastModifiedBy>gnemec</cp:lastModifiedBy>
  <cp:lastPrinted>2001-05-03T17:51:00Z</cp:lastPrinted>
  <dcterms:modified xsi:type="dcterms:W3CDTF">2001-05-13T18:25:00Z</dcterms:modified>
  <cp:revision>14</cp:revision>
  <dc:subject/>
  <dc:title>ENRON OBLIGATIONS TO BRIDGELINE</dc:title>
</cp:coreProperties>
</file>