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4"/>
        </w:rPr>
      </w:pPr>
      <w:r>
        <w:rPr>
          <w:sz w:val="24"/>
        </w:rPr>
        <w:t>PUC DOCKET NO. 23220</w:t>
      </w:r>
    </w:p>
    <w:p>
      <w:pPr>
        <w:pStyle w:val="Normal"/>
        <w:jc w:val="center"/>
        <w:rPr>
          <w:b/>
          <w:sz w:val="24"/>
        </w:rPr>
      </w:pPr>
      <w:r>
        <w:rPr>
          <w:b/>
          <w:sz w:val="24"/>
        </w:rPr>
      </w:r>
    </w:p>
    <w:p>
      <w:pPr>
        <w:pStyle w:val="Subtitle"/>
        <w:rPr>
          <w:sz w:val="24"/>
        </w:rPr>
      </w:pPr>
      <w:r>
        <w:rPr>
          <w:sz w:val="24"/>
        </w:rPr>
        <w:t>PETITION OF THE ELECTRIC</w:t>
        <w:tab/>
        <w:tab/>
        <w:t>§</w:t>
        <w:tab/>
        <w:t>PUBLIC UTILITY</w:t>
      </w:r>
    </w:p>
    <w:p>
      <w:pPr>
        <w:pStyle w:val="Normal"/>
        <w:rPr>
          <w:b/>
        </w:rPr>
      </w:pPr>
      <w:r>
        <w:rPr>
          <w:b/>
        </w:rPr>
        <w:t xml:space="preserve">RETAIABILITY COUNCIL OF </w:t>
        <w:tab/>
        <w:tab/>
        <w:t>§</w:t>
        <w:tab/>
        <w:t>COMMISSION</w:t>
      </w:r>
    </w:p>
    <w:p>
      <w:pPr>
        <w:pStyle w:val="Normal"/>
        <w:rPr>
          <w:b/>
        </w:rPr>
      </w:pPr>
      <w:r>
        <w:rPr>
          <w:b/>
        </w:rPr>
        <w:t xml:space="preserve">TEXAS FOR APPROVAL OF THE </w:t>
        <w:tab/>
        <w:t>§</w:t>
        <w:tab/>
        <w:t>OF TEXAS</w:t>
      </w:r>
    </w:p>
    <w:p>
      <w:pPr>
        <w:pStyle w:val="Heading1"/>
        <w:ind w:hanging="0" w:start="0"/>
        <w:rPr/>
      </w:pPr>
      <w:r>
        <w:rPr/>
        <w:t>ERCOT PROTOCOLS</w:t>
      </w:r>
    </w:p>
    <w:p>
      <w:pPr>
        <w:pStyle w:val="Normal"/>
        <w:rPr>
          <w:b/>
        </w:rPr>
      </w:pPr>
      <w:r>
        <w:rPr>
          <w:b/>
        </w:rPr>
      </w:r>
    </w:p>
    <w:p>
      <w:pPr>
        <w:pStyle w:val="Caption"/>
        <w:rPr>
          <w:b w:val="false"/>
        </w:rPr>
      </w:pPr>
      <w:r>
        <w:rPr/>
        <w:t>REPLY BRIEF OF ENRON POWER MARKETING, INC. AND ENRON ENERGY SERVICES, INC.</w:t>
      </w:r>
    </w:p>
    <w:p>
      <w:pPr>
        <w:pStyle w:val="Normal"/>
        <w:jc w:val="center"/>
        <w:rPr>
          <w:b/>
        </w:rPr>
      </w:pPr>
      <w:r>
        <w:rPr>
          <w:b/>
        </w:rPr>
      </w:r>
    </w:p>
    <w:p>
      <w:pPr>
        <w:pStyle w:val="BodyText"/>
        <w:spacing w:lineRule="auto" w:line="480"/>
        <w:ind w:firstLine="720" w:end="0"/>
        <w:jc w:val="both"/>
        <w:rPr>
          <w:b w:val="false"/>
          <w:sz w:val="24"/>
        </w:rPr>
      </w:pPr>
      <w:r>
        <w:rPr>
          <w:b w:val="false"/>
          <w:sz w:val="24"/>
        </w:rPr>
        <w:t xml:space="preserve">Enron Power Marketing, Inc. and Enron Energy Services, Inc. (together “Enron”) file this reply brief in the above-docketed proceeding, addressing the first, critically important issue on the Commission’s decision point list (“DPL”) only.  </w:t>
      </w:r>
    </w:p>
    <w:p>
      <w:pPr>
        <w:pStyle w:val="Heading2"/>
        <w:spacing w:lineRule="auto" w:line="480"/>
        <w:ind w:firstLine="720" w:start="0" w:end="0"/>
        <w:jc w:val="both"/>
        <w:rPr/>
      </w:pPr>
      <w:r>
        <w:rPr/>
        <w:t>Public Utility Commission (PUC) 1</w:t>
      </w:r>
    </w:p>
    <w:p>
      <w:pPr>
        <w:pStyle w:val="Subtitle"/>
        <w:ind w:firstLine="360" w:end="0"/>
        <w:jc w:val="both"/>
        <w:rPr/>
      </w:pPr>
      <w:r>
        <w:rPr>
          <w:sz w:val="24"/>
        </w:rPr>
        <w:t>Are there any major deficiencies in the version of the Protocols to be implemented on June 1, 2001 that will result in a materially flawed market design?  If so, what measures should be put into place by June 1, 2001 including, if necessary, interim measures, to avoid any major problems upon the implementation of the Protocols?</w:t>
      </w:r>
      <w:r>
        <w:rPr>
          <w:b w:val="false"/>
          <w:sz w:val="24"/>
        </w:rPr>
        <w:t xml:space="preserve">          </w:t>
      </w:r>
    </w:p>
    <w:p>
      <w:pPr>
        <w:pStyle w:val="Subtitle"/>
        <w:ind w:firstLine="360" w:end="0"/>
        <w:jc w:val="both"/>
        <w:rPr>
          <w:b w:val="false"/>
          <w:sz w:val="24"/>
        </w:rPr>
      </w:pPr>
      <w:r>
        <w:rPr>
          <w:b w:val="false"/>
          <w:sz w:val="24"/>
        </w:rPr>
      </w:r>
    </w:p>
    <w:p>
      <w:pPr>
        <w:pStyle w:val="Subtitle"/>
        <w:spacing w:lineRule="auto" w:line="480"/>
        <w:ind w:firstLine="360" w:end="0"/>
        <w:jc w:val="both"/>
        <w:rPr>
          <w:b w:val="false"/>
          <w:sz w:val="24"/>
        </w:rPr>
      </w:pPr>
      <w:r>
        <w:rPr>
          <w:b w:val="false"/>
          <w:sz w:val="24"/>
        </w:rPr>
        <w:t xml:space="preserve">In its initial brief, Enron made two observations relating to whether or not there are any major deficiencies in the protocols:  </w:t>
      </w:r>
    </w:p>
    <w:p>
      <w:pPr>
        <w:pStyle w:val="Subtitle"/>
        <w:numPr>
          <w:ilvl w:val="0"/>
          <w:numId w:val="2"/>
        </w:numPr>
        <w:spacing w:lineRule="auto" w:line="480"/>
        <w:jc w:val="both"/>
        <w:rPr>
          <w:b w:val="false"/>
          <w:sz w:val="24"/>
        </w:rPr>
      </w:pPr>
      <w:r>
        <w:rPr>
          <w:b w:val="false"/>
          <w:sz w:val="24"/>
        </w:rPr>
        <w:t>The Protocols are based on the premise that the actions of ERCOT, as the reliability coordinator, can be meaningfully separated from other market activities related to the delivery of energy to end use customers, and</w:t>
      </w:r>
    </w:p>
    <w:p>
      <w:pPr>
        <w:pStyle w:val="Subtitle"/>
        <w:numPr>
          <w:ilvl w:val="0"/>
          <w:numId w:val="2"/>
        </w:numPr>
        <w:spacing w:lineRule="auto" w:line="480"/>
        <w:jc w:val="both"/>
        <w:rPr>
          <w:b w:val="false"/>
          <w:sz w:val="24"/>
        </w:rPr>
      </w:pPr>
      <w:r>
        <w:rPr>
          <w:b w:val="false"/>
          <w:sz w:val="24"/>
        </w:rPr>
        <w:t>The Protocols do not define or create a viable spot market for electricity in ERCOT – this activity is left to the actions of the Market Participants and their Qualified Scheduling Entities, should the demand arise.</w:t>
      </w:r>
    </w:p>
    <w:p>
      <w:pPr>
        <w:pStyle w:val="Subtitle"/>
        <w:spacing w:lineRule="auto" w:line="480"/>
        <w:jc w:val="both"/>
        <w:rPr>
          <w:b w:val="false"/>
          <w:sz w:val="24"/>
        </w:rPr>
      </w:pPr>
      <w:r>
        <w:rPr>
          <w:b w:val="false"/>
          <w:sz w:val="24"/>
        </w:rPr>
        <w:t>These two observations led Enron to question whether or not the Draft Protocols, if implemented in their current state, would be as likely as other market models (e.g. PJM in particular) to generate the social outcomes envisioned by Senate Bill 7.</w:t>
      </w:r>
    </w:p>
    <w:p>
      <w:pPr>
        <w:pStyle w:val="Normal"/>
        <w:spacing w:lineRule="auto" w:line="480"/>
        <w:jc w:val="both"/>
        <w:rPr/>
      </w:pPr>
      <w:r>
        <w:rPr>
          <w:b/>
        </w:rPr>
        <w:tab/>
      </w:r>
      <w:r>
        <w:rPr/>
        <w:t xml:space="preserve">With respect to the first bullet point above, the physical actions of the dispatcher in real time in insuring reliability cannot be meaningfully separated from the provision of electricity to meet load or the management of transmission constraints (including congestion).  However, the ERCOT Protocols are based on the heroic assumption that market solutions arrived at </w:t>
      </w:r>
      <w:r>
        <w:rPr>
          <w:i/>
        </w:rPr>
        <w:t>prior to real time</w:t>
      </w:r>
      <w:r>
        <w:rPr/>
        <w:t xml:space="preserve"> will necessarily minimize the need for the dispatcher to take action.  Not only are these solutions expected to minimize the role of the dispatcher in the market, but it is also expected that these solutions will deliver concrete benefits to end use customers.  To the extent that these </w:t>
      </w:r>
      <w:r>
        <w:rPr>
          <w:i/>
        </w:rPr>
        <w:t>ex ante</w:t>
      </w:r>
      <w:r>
        <w:rPr/>
        <w:t xml:space="preserve"> market solutions are “wrong,” it is the dispatcher who must intervene and ensure that the lights stay on.  The divergence between what was expected to happen and what actually occurred leads to inefficient outcomes, and the greater the divergences, the greater the inefficiency.  We believe not only that these divergences will be greater than they would be under a market design similar to PJM, but the commercial effects are likely to be significant and will increase over time.  </w:t>
      </w:r>
    </w:p>
    <w:p>
      <w:pPr>
        <w:pStyle w:val="BodyTextIndent2"/>
        <w:rPr/>
      </w:pPr>
      <w:r>
        <w:rPr/>
        <w:t xml:space="preserve">With respect to congestion management, Section 7 of the Protocols outlines the actions that will be taken by the dispatcher to manage constraints.  The first step is for ERCOT to establish, on an annual basis, the Commercially Significant Constraints, which are then to be used to divide the ERCOT Transmission Grid into a predetermined number of congestion zones.  According to the Protocols, </w:t>
      </w:r>
    </w:p>
    <w:p>
      <w:pPr>
        <w:pStyle w:val="BodyText"/>
        <w:ind w:start="720" w:end="720"/>
        <w:jc w:val="both"/>
        <w:rPr>
          <w:b w:val="false"/>
          <w:sz w:val="20"/>
        </w:rPr>
      </w:pPr>
      <w:r>
        <w:rPr>
          <w:b w:val="false"/>
          <w:sz w:val="20"/>
        </w:rPr>
        <w:t>Each Congestion Zone is defined such that each Generation Resource or Load within the Congestion Zone boundaries has a similar effect on the loading (Shift Factor) of Transmission Facilities between Congestion Zones.  For purposes of solving Zonal Congestion the Shift Factor will be assumed the same for all Generation Resources and Loads within a Congestion Zone.  Therefore any imbalance between Load and Generation Resources in a Congestion Zone will be deemed to have the same impact on a given loading between Congestion Zones.</w:t>
      </w:r>
    </w:p>
    <w:p>
      <w:pPr>
        <w:pStyle w:val="BodyText"/>
        <w:ind w:start="720" w:end="720"/>
        <w:jc w:val="both"/>
        <w:rPr>
          <w:b w:val="false"/>
          <w:sz w:val="20"/>
        </w:rPr>
      </w:pPr>
      <w:r>
        <w:rPr>
          <w:b w:val="false"/>
          <w:sz w:val="20"/>
        </w:rPr>
      </w:r>
    </w:p>
    <w:p>
      <w:pPr>
        <w:pStyle w:val="BodyText"/>
        <w:ind w:start="720" w:end="720"/>
        <w:jc w:val="both"/>
        <w:rPr>
          <w:b w:val="false"/>
          <w:sz w:val="20"/>
        </w:rPr>
      </w:pPr>
      <w:r>
        <w:rPr>
          <w:b w:val="false"/>
          <w:sz w:val="20"/>
        </w:rPr>
        <w:t>This Congestion management scheme utilizes a Shift Factor, determined by ERCOT, on Zonal Congestion from the QSE schedules and thus predict potential Congestion on CSC using the known topology of the ERCOT System.  The Shift Factor determined by ERCOT should most closely represent the effect of Generation Resources and Load in the Congestion Zone will have on a given loading between Congestion Zones with the current topology of ERCOT System.  This scheme is used in the Day Ahead and Adjustment Periods to evaluate potential Congestion and notify the market accordingly.  The ERCOT also uses this scheme, along with other factors, to determine if Replacement Reserve Service should be purchased in a Congestion Zone to provide additional Balancing Energy Service to provide a solution for expected Congestion.</w:t>
      </w:r>
    </w:p>
    <w:p>
      <w:pPr>
        <w:pStyle w:val="BodyText"/>
        <w:ind w:start="720" w:end="720"/>
        <w:jc w:val="both"/>
        <w:rPr>
          <w:b w:val="false"/>
          <w:sz w:val="20"/>
        </w:rPr>
      </w:pPr>
      <w:r>
        <w:rPr>
          <w:b w:val="false"/>
          <w:sz w:val="20"/>
        </w:rPr>
      </w:r>
    </w:p>
    <w:p>
      <w:pPr>
        <w:pStyle w:val="BodyText"/>
        <w:ind w:start="720" w:end="720"/>
        <w:jc w:val="both"/>
        <w:rPr>
          <w:b w:val="false"/>
          <w:sz w:val="20"/>
        </w:rPr>
      </w:pPr>
      <w:r>
        <w:rPr>
          <w:b w:val="false"/>
          <w:sz w:val="20"/>
        </w:rPr>
        <w:t>ERCOT will use the Zonal Congestion management model with annual Shift Factors of Generation Resources and Loads on CSC Congestion to determine the marginal price to have electric flow across a Zonal Congestion boundary.  This marginal price will be used in settlement of the cost to resolve CSC.  The cost to solve Zonal Congestion that are not CSC will be uplifted pro rata to each QSE based on the Load Ratio Share.</w:t>
      </w:r>
    </w:p>
    <w:p>
      <w:pPr>
        <w:pStyle w:val="BodyText"/>
        <w:ind w:start="720" w:end="720"/>
        <w:jc w:val="both"/>
        <w:rPr>
          <w:b w:val="false"/>
          <w:sz w:val="20"/>
        </w:rPr>
      </w:pPr>
      <w:r>
        <w:rPr>
          <w:b w:val="false"/>
          <w:sz w:val="20"/>
        </w:rPr>
      </w:r>
    </w:p>
    <w:p>
      <w:pPr>
        <w:pStyle w:val="BodyText"/>
        <w:ind w:start="720" w:end="720"/>
        <w:jc w:val="both"/>
        <w:rPr>
          <w:b w:val="false"/>
          <w:sz w:val="20"/>
        </w:rPr>
      </w:pPr>
      <w:r>
        <w:rPr>
          <w:b w:val="false"/>
          <w:sz w:val="20"/>
        </w:rPr>
        <w:t xml:space="preserve">The Local Congestion management scheme more accurately reflects a given Generation Resource’s or Load’s contribution to Congestion by using the actual Shift Factor or effect by load-flow study of that Generation Resource or Load on a constraint.  This model is typically used to manage Local Congestion constraints.  The local model also utilizes the current known topology of the ERCOT System. </w:t>
      </w:r>
    </w:p>
    <w:p>
      <w:pPr>
        <w:pStyle w:val="BodyText"/>
        <w:ind w:start="720" w:end="720"/>
        <w:jc w:val="both"/>
        <w:rPr>
          <w:b w:val="false"/>
          <w:sz w:val="20"/>
        </w:rPr>
      </w:pPr>
      <w:r>
        <w:rPr>
          <w:b w:val="false"/>
          <w:sz w:val="20"/>
        </w:rPr>
      </w:r>
    </w:p>
    <w:p>
      <w:pPr>
        <w:pStyle w:val="Normal"/>
        <w:ind w:start="720" w:end="720"/>
        <w:jc w:val="both"/>
        <w:rPr>
          <w:sz w:val="20"/>
        </w:rPr>
      </w:pPr>
      <w:r>
        <w:rPr>
          <w:sz w:val="20"/>
        </w:rPr>
        <w:t>The cost to solve Local Congestion will be uplifted pro rata to each QSE based on the Load Ratio Share by QSE.</w:t>
      </w:r>
    </w:p>
    <w:p>
      <w:pPr>
        <w:pStyle w:val="Normal"/>
        <w:spacing w:lineRule="auto" w:line="480"/>
        <w:ind w:firstLine="720" w:end="0"/>
        <w:jc w:val="both"/>
        <w:rPr/>
      </w:pPr>
      <w:r>
        <w:rPr/>
      </w:r>
    </w:p>
    <w:p>
      <w:pPr>
        <w:pStyle w:val="Normal"/>
        <w:spacing w:lineRule="auto" w:line="480"/>
        <w:ind w:firstLine="720" w:end="0"/>
        <w:jc w:val="both"/>
        <w:rPr/>
      </w:pPr>
      <w:r>
        <w:rPr/>
        <w:t xml:space="preserve">In a sense, the current Protocols establish two congestion management systems – one that is applied at the zonal level and another that is used for clearing local congestion.  It is not clear how these two systems are supposed to interact.  Implicit in the development of the current congestion management methodology is that the bulk of congestion will be “interzonal” rather than “intrazonal”.  Also implicit is that much of the former can be eliminated prior to real time through the creation of the CSC zones.    Put bluntly, the Protocols are based on the assumption that almost all congestion can be predicted and eliminated  beforehand.  </w:t>
      </w:r>
    </w:p>
    <w:p>
      <w:pPr>
        <w:pStyle w:val="Normal"/>
        <w:spacing w:lineRule="auto" w:line="480"/>
        <w:ind w:firstLine="720" w:end="0"/>
        <w:jc w:val="both"/>
        <w:rPr/>
      </w:pPr>
      <w:r>
        <w:rPr/>
        <w:t>We question whether adequate analysis has been performed on the stability and robustness of the zones in the face of competitive behavior for the methodology to be implemented.  Recent research suggests that strategic behavior on the part of existing market participants has the potential ability to significantly alter pre-determined line flows.</w:t>
      </w:r>
      <w:r>
        <w:rPr>
          <w:rStyle w:val="FootnoteCharacters"/>
          <w:rStyle w:val="FootnoteReference"/>
        </w:rPr>
        <w:footnoteReference w:id="2"/>
      </w:r>
      <w:r>
        <w:rPr/>
        <w:t xml:space="preserve">   If this turns out to be true, then what the Protocols envision as “market” solutions will be ineffective and the dispatcher will be forced to intervene more and more often – the “market” solutions will not mirror what is needed in real time to clear congestion.  While the Protocols allow for the zones to be re-defined, this is done on an annual basis, and we believe that their effectiveness will be over a much more limited time.</w:t>
      </w:r>
    </w:p>
    <w:p>
      <w:pPr>
        <w:pStyle w:val="Normal"/>
        <w:spacing w:lineRule="auto" w:line="480"/>
        <w:ind w:firstLine="720" w:end="0"/>
        <w:jc w:val="both"/>
        <w:rPr/>
      </w:pPr>
      <w:r>
        <w:rPr/>
        <w:t>With respect to the management of “interzonal” congestion, the ERCOT Market Guide describes the following process:</w:t>
      </w:r>
    </w:p>
    <w:p>
      <w:pPr>
        <w:pStyle w:val="Normal"/>
        <w:numPr>
          <w:ilvl w:val="0"/>
          <w:numId w:val="3"/>
        </w:numPr>
        <w:spacing w:lineRule="auto" w:line="480"/>
        <w:jc w:val="both"/>
        <w:rPr/>
      </w:pPr>
      <w:r>
        <w:rPr/>
        <w:t>ERCOT will notify QSEs of the problem and give them the opportunity to adjust schedules to relieve the forecast congestion;</w:t>
      </w:r>
    </w:p>
    <w:p>
      <w:pPr>
        <w:pStyle w:val="Normal"/>
        <w:numPr>
          <w:ilvl w:val="0"/>
          <w:numId w:val="3"/>
        </w:numPr>
        <w:spacing w:lineRule="auto" w:line="480"/>
        <w:jc w:val="both"/>
        <w:rPr/>
      </w:pPr>
      <w:r>
        <w:rPr/>
        <w:t>If the adjusted schedules do not relieve the congestion, then ERCOT will procure Replacement Reserves to insure that sufficient capacity is available to meet load;</w:t>
      </w:r>
    </w:p>
    <w:p>
      <w:pPr>
        <w:pStyle w:val="Normal"/>
        <w:numPr>
          <w:ilvl w:val="0"/>
          <w:numId w:val="3"/>
        </w:numPr>
        <w:spacing w:lineRule="auto" w:line="480"/>
        <w:jc w:val="both"/>
        <w:rPr/>
      </w:pPr>
      <w:r>
        <w:rPr/>
        <w:t>Should congestion continued to be predicted as the market approaches real time, then ERCOT will call for incremental/decremental balancing energy bids in the affected zones.</w:t>
      </w:r>
    </w:p>
    <w:p>
      <w:pPr>
        <w:pStyle w:val="Normal"/>
        <w:numPr>
          <w:ilvl w:val="0"/>
          <w:numId w:val="3"/>
        </w:numPr>
        <w:spacing w:lineRule="auto" w:line="480"/>
        <w:jc w:val="both"/>
        <w:rPr/>
      </w:pPr>
      <w:r>
        <w:rPr/>
        <w:t>Incremental and decremental energy will be dispatched to eliminate congestion in the affected zones in real time.</w:t>
      </w:r>
    </w:p>
    <w:p>
      <w:pPr>
        <w:pStyle w:val="Normal"/>
        <w:spacing w:lineRule="auto" w:line="480"/>
        <w:jc w:val="both"/>
        <w:rPr/>
      </w:pPr>
      <w:r>
        <w:rPr/>
        <w:t xml:space="preserve">If for whatever reason, however, the definition of the zones is inappropriate, the ability of the “market” to solve congestion from the perspective of physical dispatch will be significantly reduced.  Moreover, given the lack of </w:t>
      </w:r>
      <w:r>
        <w:rPr>
          <w:i/>
        </w:rPr>
        <w:t>ex ante</w:t>
      </w:r>
      <w:r>
        <w:rPr/>
        <w:t xml:space="preserve"> price signals, we suggest that in many cases market participants may not be incentivized to eliminate congestion </w:t>
      </w:r>
      <w:r>
        <w:rPr>
          <w:i/>
        </w:rPr>
        <w:t>ex ante</w:t>
      </w:r>
      <w:r>
        <w:rPr/>
        <w:t>.  In fact, it is possible that they will have an incentive to artificially create congestion before real time and then be paid to eliminate it through the actions of the dispatcher.</w:t>
      </w:r>
    </w:p>
    <w:p>
      <w:pPr>
        <w:pStyle w:val="Normal"/>
        <w:spacing w:lineRule="auto" w:line="480"/>
        <w:ind w:firstLine="720" w:end="0"/>
        <w:jc w:val="both"/>
        <w:rPr/>
      </w:pPr>
      <w:r>
        <w:rPr/>
        <w:t>As far as congestion management within a zone is concerned, each successive version of the Protocols has moved closer and closer to a nodal or LMP solution.</w:t>
      </w:r>
      <w:r>
        <w:rPr>
          <w:rStyle w:val="FootnoteCharacters"/>
          <w:rStyle w:val="FootnoteReference"/>
        </w:rPr>
        <w:footnoteReference w:id="3"/>
      </w:r>
      <w:r>
        <w:rPr/>
        <w:t xml:space="preserve"> Not only has this evolution had little effect on the myth that congestion management can be separated into “macro” (inter) and “micro” (intra) components, but there has been little attempt to explain how the two components will be integrated in real time.  This appears to us to be an added complication – not unlike creating artificial seams within a single market, and we predict this will become a source where the dispatcher intervention will occur on a regular basis.  The physical characteristics of ERCOT mean that a single integrated market – with the efficiencies that come with the increased scale – was  possible, yet it appears that the Protocols are working against this result. </w:t>
      </w:r>
    </w:p>
    <w:p>
      <w:pPr>
        <w:pStyle w:val="Normal"/>
        <w:spacing w:lineRule="auto" w:line="480"/>
        <w:ind w:firstLine="720" w:end="0"/>
        <w:jc w:val="both"/>
        <w:rPr/>
      </w:pPr>
      <w:r>
        <w:rPr/>
        <w:t>In real time the management of transmission constraints by the dispatcher is inextricably linked to the physical matching of supply and demand.  That is, the real time energy market is – from a physical standpoint - fully integrated with the congestion management system.  Any attempt to artificially isolate the spot market from congestion management must, by definition, introduce inefficiencies into the system and the resulting prices will not represent actual supply and demand.  It is for this reason that Enron believes that the issues of congestion management and the formation of a spot market are intimately linked, and any attempt to separate the two is bound to yield not only inefficiencies but potentially damaging results.</w:t>
      </w:r>
    </w:p>
    <w:p>
      <w:pPr>
        <w:pStyle w:val="BodyTextIndent2"/>
        <w:rPr/>
      </w:pPr>
      <w:r>
        <w:rPr/>
        <w:t xml:space="preserve">Enron respectfully requests that the Commission reexamine the draft Protocols in light of our comments above.  At this time, it is not as important to look at specific rules within the Protocols as it is to evaluate them in their entirety against a defined objective.  We urge that the Commission determine whether the market design reflected in the draft Protocols is not only likely to improve social welfare, but also whether other feasible designs exist that would yield even greater gains to society.  The appropriate analytical tool for this exercise is the counterfactual.  Because of the importance of electricity in the lives of people as well as the long-term nature of investments in the industry, we urge the PUCT to perform this analysis before ruling on the Protocols.  </w:t>
      </w:r>
    </w:p>
    <w:sectPr>
      <w:footerReference w:type="default" r:id="rId2"/>
      <w:footerReference w:type="first" r:id="rId3"/>
      <w:footnotePr>
        <w:numFmt w:val="decimal"/>
      </w:footnotePr>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Chapter 8, “ERCOT Case Study”, Lance Cunningham (unpublished PhD Dissertation, University of Texas).</w:t>
      </w:r>
    </w:p>
  </w:footnote>
  <w:footnote w:id="3">
    <w:p>
      <w:pPr>
        <w:pStyle w:val="FootnoteText"/>
        <w:rPr/>
      </w:pPr>
      <w:r>
        <w:rPr>
          <w:rStyle w:val="FootnoteCharacters"/>
        </w:rPr>
        <w:footnoteRef/>
      </w:r>
      <w:r>
        <w:rPr/>
        <w:t xml:space="preserve"> </w:t>
      </w:r>
      <w:r>
        <w:rPr/>
        <w:t>See “Efficient Intrazonal Transmission Pricing,” Dr. Shmuel Oren, Jan. 2001,  previously filed in this proceeding by the Commission staff.</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abstractNum w:abstractNumId="3">
    <w:lvl w:ilvl="0">
      <w:start w:val="1"/>
      <w:numFmt w:val="bullet"/>
      <w:lvlText w:val=""/>
      <w:lvlJc w:val="start"/>
      <w:pPr>
        <w:tabs>
          <w:tab w:val="num" w:pos="1440"/>
        </w:tabs>
        <w:ind w:start="144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b/>
      <w:bCs/>
      <w:u w:val="single"/>
    </w:rPr>
  </w:style>
  <w:style w:type="paragraph" w:styleId="Heading3">
    <w:name w:val="heading 3"/>
    <w:basedOn w:val="Normal"/>
    <w:next w:val="Normal"/>
    <w:qFormat/>
    <w:pPr>
      <w:keepNext w:val="true"/>
      <w:numPr>
        <w:ilvl w:val="2"/>
        <w:numId w:val="1"/>
      </w:numPr>
      <w:ind w:hanging="0" w:start="720" w:end="0"/>
      <w:outlineLvl w:val="2"/>
    </w:pPr>
    <w:rPr>
      <w:b/>
      <w:bCs/>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bCs/>
      <w:sz w:val="28"/>
    </w:rPr>
  </w:style>
  <w:style w:type="paragraph" w:styleId="BodyText">
    <w:name w:val="Body Text"/>
    <w:basedOn w:val="Normal"/>
    <w:pPr>
      <w:jc w:val="center"/>
    </w:pPr>
    <w:rPr>
      <w:b/>
      <w:bCs/>
      <w:sz w:val="28"/>
    </w:rPr>
  </w:style>
  <w:style w:type="paragraph" w:styleId="List">
    <w:name w:val="List"/>
    <w:basedOn w:val="BodyText"/>
    <w:pPr/>
    <w:rPr>
      <w:rFonts w:cs="NotoSans NF"/>
    </w:rPr>
  </w:style>
  <w:style w:type="paragraph" w:styleId="Caption">
    <w:name w:val="caption"/>
    <w:basedOn w:val="Normal"/>
    <w:next w:val="Normal"/>
    <w:qFormat/>
    <w:pPr>
      <w:jc w:val="center"/>
    </w:pPr>
    <w:rPr>
      <w:b/>
      <w:szCs w:val="20"/>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b/>
      <w:bCs/>
      <w:sz w:val="28"/>
    </w:rPr>
  </w:style>
  <w:style w:type="paragraph" w:styleId="FootnoteText">
    <w:name w:val="footnote text"/>
    <w:basedOn w:val="Normal"/>
    <w:pPr/>
    <w:rPr>
      <w:sz w:val="20"/>
      <w:szCs w:val="20"/>
    </w:rPr>
  </w:style>
  <w:style w:type="paragraph" w:styleId="BodyText2">
    <w:name w:val="Body Text 2"/>
    <w:basedOn w:val="Normal"/>
    <w:qFormat/>
    <w:pPr>
      <w:jc w:val="both"/>
    </w:pPr>
    <w:rPr/>
  </w:style>
  <w:style w:type="paragraph" w:styleId="BodyTextIndent">
    <w:name w:val="Body Text Indent"/>
    <w:basedOn w:val="Normal"/>
    <w:pPr>
      <w:spacing w:lineRule="auto" w:line="480"/>
      <w:ind w:firstLine="360" w:start="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spacing w:lineRule="auto" w:line="480"/>
      <w:ind w:firstLine="720" w:start="0" w:end="0"/>
      <w:jc w:val="both"/>
    </w:pPr>
    <w:rPr>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2001-02-05T18:01:00Z</dcterms:created>
  <dc:creator>rkittel</dc:creator>
  <dc:description/>
  <dc:language>en-CA</dc:language>
  <cp:lastModifiedBy>Edie Heuss</cp:lastModifiedBy>
  <cp:lastPrinted>2001-02-05T14:36:00Z</cp:lastPrinted>
  <dcterms:modified xsi:type="dcterms:W3CDTF">2001-02-05T18:06:00Z</dcterms:modified>
  <cp:revision>3</cp:revision>
  <dc:subject/>
  <dc:title>DOCKET NO</dc:title>
</cp:coreProperties>
</file>