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lang w:val="en-CA"/>
        </w:rPr>
      </w:pPr>
      <w:r>
        <w:rPr>
          <w:sz w:val="22"/>
          <w:lang w:val="en-CA"/>
        </w:rPr>
        <w:drawing>
          <wp:anchor behindDoc="0" distT="0" distB="0" distL="114935" distR="114935" simplePos="0" locked="0" layoutInCell="1" allowOverlap="1" relativeHeight="9">
            <wp:simplePos x="0" y="0"/>
            <wp:positionH relativeFrom="column">
              <wp:posOffset>2533650</wp:posOffset>
            </wp:positionH>
            <wp:positionV relativeFrom="paragraph">
              <wp:posOffset>-190500</wp:posOffset>
            </wp:positionV>
            <wp:extent cx="914400" cy="476250"/>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654" t="-46" r="-654" b="-46"/>
                    <a:stretch>
                      <a:fillRect/>
                    </a:stretch>
                  </pic:blipFill>
                  <pic:spPr bwMode="auto">
                    <a:xfrm>
                      <a:off x="0" y="0"/>
                      <a:ext cx="914400" cy="476250"/>
                    </a:xfrm>
                    <a:prstGeom prst="rect">
                      <a:avLst/>
                    </a:prstGeom>
                    <a:noFill/>
                  </pic:spPr>
                </pic:pic>
              </a:graphicData>
            </a:graphic>
          </wp:anchor>
        </w:drawing>
      </w:r>
      <w:bookmarkStart w:id="0" w:name="QuickMark"/>
      <w:bookmarkStart w:id="1" w:name="QuickMark"/>
      <w:bookmarkEnd w:id="1"/>
    </w:p>
    <w:p>
      <w:pPr>
        <w:pStyle w:val="Normal"/>
        <w:rPr>
          <w:sz w:val="22"/>
        </w:rPr>
      </w:pPr>
      <w:r>
        <w:rPr>
          <w:sz w:val="22"/>
        </w:rPr>
      </w:r>
    </w:p>
    <w:p>
      <w:pPr>
        <w:pStyle w:val="Normal"/>
        <w:rPr>
          <w:sz w:val="22"/>
        </w:rPr>
      </w:pPr>
      <w:r>
        <w:rPr>
          <w:sz w:val="22"/>
        </w:rPr>
      </w:r>
    </w:p>
    <w:p>
      <w:pPr>
        <w:pStyle w:val="Normal"/>
        <w:spacing w:lineRule="exact" w:line="19"/>
        <w:ind w:firstLine="2160" w:end="0"/>
        <w:rPr>
          <w:sz w:val="22"/>
          <w:lang w:val="en-CA" w:eastAsia="en-CA"/>
        </w:rPr>
      </w:pPr>
      <w:r>
        <w:rPr>
          <w:sz w:val="22"/>
          <w:lang w:val="en-CA" w:eastAsia="en-CA"/>
        </w:rPr>
        <mc:AlternateContent>
          <mc:Choice Requires="wps">
            <w:drawing>
              <wp:anchor behindDoc="1" distT="0" distB="0" distL="114935" distR="114935" simplePos="0" locked="0" layoutInCell="0" allowOverlap="1" relativeHeight="8">
                <wp:simplePos x="0" y="0"/>
                <wp:positionH relativeFrom="page">
                  <wp:posOffset>914400</wp:posOffset>
                </wp:positionH>
                <wp:positionV relativeFrom="paragraph">
                  <wp:posOffset>635</wp:posOffset>
                </wp:positionV>
                <wp:extent cx="5943600" cy="12065"/>
                <wp:effectExtent l="0" t="635" r="0" b="0"/>
                <wp:wrapNone/>
                <wp:docPr id="2"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rect>
            </w:pict>
          </mc:Fallback>
        </mc:AlternateContent>
      </w:r>
    </w:p>
    <w:p>
      <w:pPr>
        <w:pStyle w:val="Normal"/>
        <w:rPr/>
      </w:pPr>
      <w:r>
        <w:rPr/>
      </w:r>
    </w:p>
    <w:p>
      <w:pPr>
        <w:pStyle w:val="Normal"/>
        <w:ind w:firstLine="2880" w:end="0"/>
        <w:rPr/>
      </w:pPr>
      <w:r>
        <w:rPr/>
      </w:r>
    </w:p>
    <w:p>
      <w:pPr>
        <w:pStyle w:val="Heading1"/>
        <w:ind w:hanging="0" w:start="0"/>
        <w:rPr/>
      </w:pPr>
      <w:r>
        <w:rPr/>
        <w:t>MEMORANDUM</w:t>
      </w:r>
    </w:p>
    <w:p>
      <w:pPr>
        <w:pStyle w:val="Normal"/>
        <w:rPr>
          <w:b/>
        </w:rPr>
      </w:pPr>
      <w:r>
        <w:rPr>
          <w:b/>
        </w:rPr>
      </w:r>
    </w:p>
    <w:p>
      <w:pPr>
        <w:pStyle w:val="Normal"/>
        <w:rPr>
          <w:b/>
        </w:rPr>
      </w:pPr>
      <w:r>
        <w:rPr>
          <w:b/>
        </w:rPr>
      </w:r>
    </w:p>
    <w:p>
      <w:pPr>
        <w:pStyle w:val="Normal"/>
        <w:rPr>
          <w:b/>
        </w:rPr>
      </w:pPr>
      <w:r>
        <w:rPr>
          <w:b/>
        </w:rPr>
        <w:t>To:</w:t>
        <w:tab/>
        <w:tab/>
        <w:t xml:space="preserve">Jim Steffes, Paul Kaufman, Harry Kingerski, </w:t>
      </w:r>
    </w:p>
    <w:p>
      <w:pPr>
        <w:pStyle w:val="Normal"/>
        <w:rPr>
          <w:b/>
        </w:rPr>
      </w:pPr>
      <w:r>
        <w:rPr>
          <w:b/>
        </w:rPr>
        <w:tab/>
        <w:tab/>
        <w:t>Jeff Dasovich, and Robert Neustadter</w:t>
      </w:r>
    </w:p>
    <w:p>
      <w:pPr>
        <w:pStyle w:val="Normal"/>
        <w:numPr>
          <w:ilvl w:val="0"/>
          <w:numId w:val="0"/>
        </w:numPr>
        <w:outlineLvl w:val="0"/>
        <w:rPr>
          <w:b/>
        </w:rPr>
      </w:pPr>
      <w:r>
        <w:rPr>
          <w:b/>
        </w:rPr>
        <w:tab/>
        <w:tab/>
        <w:t>Enron Corp.</w:t>
      </w:r>
    </w:p>
    <w:p>
      <w:pPr>
        <w:pStyle w:val="Normal"/>
        <w:tabs>
          <w:tab w:val="clear" w:pos="720"/>
          <w:tab w:val="left" w:pos="-1440" w:leader="none"/>
        </w:tabs>
        <w:ind w:hanging="1440" w:start="1440" w:end="0"/>
        <w:rPr>
          <w:b/>
        </w:rPr>
      </w:pPr>
      <w:r>
        <w:rPr>
          <w:b/>
        </w:rPr>
      </w:r>
    </w:p>
    <w:p>
      <w:pPr>
        <w:pStyle w:val="Normal"/>
        <w:numPr>
          <w:ilvl w:val="0"/>
          <w:numId w:val="0"/>
        </w:numPr>
        <w:outlineLvl w:val="0"/>
        <w:rPr>
          <w:b/>
        </w:rPr>
      </w:pPr>
      <w:r>
        <w:rPr>
          <w:b/>
        </w:rPr>
        <w:t>From:</w:t>
        <w:tab/>
        <w:tab/>
        <w:t>Bill Monsen and Roger Yang</w:t>
      </w:r>
    </w:p>
    <w:p>
      <w:pPr>
        <w:pStyle w:val="Normal"/>
        <w:rPr>
          <w:b/>
        </w:rPr>
      </w:pPr>
      <w:r>
        <w:rPr>
          <w:b/>
        </w:rPr>
        <w:tab/>
        <w:tab/>
        <w:t>MRW &amp; Associates, Inc.</w:t>
      </w:r>
    </w:p>
    <w:p>
      <w:pPr>
        <w:pStyle w:val="Normal"/>
        <w:rPr>
          <w:b/>
        </w:rPr>
      </w:pPr>
      <w:r>
        <w:rPr>
          <w:b/>
        </w:rPr>
      </w:r>
    </w:p>
    <w:p>
      <w:pPr>
        <w:pStyle w:val="Normal"/>
        <w:ind w:hanging="1440" w:start="1440" w:end="0"/>
        <w:rPr>
          <w:b/>
        </w:rPr>
      </w:pPr>
      <w:r>
        <w:rPr>
          <w:b/>
        </w:rPr>
        <w:t>Subject:</w:t>
        <w:tab/>
      </w:r>
      <w:bookmarkStart w:id="2" w:name="a4"/>
      <w:bookmarkEnd w:id="2"/>
      <w:r>
        <w:rPr>
          <w:b/>
        </w:rPr>
        <w:t>Expedited Assessment and Implications of Current California Legislative and Regulatory Activities on Bundled Service Rates for Pacific Gas and Electric and Southern California Edison</w:t>
      </w:r>
    </w:p>
    <w:p>
      <w:pPr>
        <w:pStyle w:val="Normal"/>
        <w:rPr>
          <w:b/>
        </w:rPr>
      </w:pPr>
      <w:r>
        <w:rPr>
          <w:b/>
        </w:rPr>
      </w:r>
    </w:p>
    <w:p>
      <w:pPr>
        <w:pStyle w:val="Normal"/>
        <w:pBdr>
          <w:bottom w:val="double" w:sz="6" w:space="1" w:color="000000"/>
        </w:pBdr>
        <w:tabs>
          <w:tab w:val="clear" w:pos="720"/>
          <w:tab w:val="left" w:pos="-1440" w:leader="none"/>
        </w:tabs>
        <w:ind w:hanging="1440" w:start="1440" w:end="0"/>
        <w:rPr>
          <w:b/>
        </w:rPr>
      </w:pPr>
      <w:r>
        <w:rPr>
          <w:b/>
        </w:rPr>
        <w:t>Date:</w:t>
        <w:tab/>
        <w:tab/>
      </w:r>
      <w:r>
        <w:rPr>
          <w:b/>
        </w:rPr>
        <w:fldChar w:fldCharType="begin"/>
      </w:r>
      <w:r>
        <w:rPr>
          <w:b/>
        </w:rPr>
        <w:instrText xml:space="preserve"> DATE \@"MMMM\ d', 'yyyy" </w:instrText>
      </w:r>
      <w:r>
        <w:rPr>
          <w:b/>
        </w:rPr>
        <w:fldChar w:fldCharType="separate"/>
      </w:r>
      <w:r>
        <w:rPr>
          <w:b/>
        </w:rPr>
        <w:t>September 28, 2025</w:t>
      </w:r>
      <w:r>
        <w:rPr>
          <w:b/>
        </w:rPr>
        <w:fldChar w:fldCharType="end"/>
      </w:r>
    </w:p>
    <w:p>
      <w:pPr>
        <w:pStyle w:val="Normal"/>
        <w:rPr>
          <w:b/>
        </w:rPr>
      </w:pPr>
      <w:r>
        <w:rPr>
          <w:b/>
        </w:rPr>
      </w:r>
    </w:p>
    <w:p>
      <w:pPr>
        <w:pStyle w:val="Normal"/>
        <w:numPr>
          <w:ilvl w:val="0"/>
          <w:numId w:val="0"/>
        </w:numPr>
        <w:outlineLvl w:val="0"/>
        <w:rPr>
          <w:b/>
        </w:rPr>
      </w:pPr>
      <w:r>
        <w:rPr>
          <w:b/>
        </w:rPr>
        <w:t>Summary</w:t>
      </w:r>
    </w:p>
    <w:p>
      <w:pPr>
        <w:pStyle w:val="Normal"/>
        <w:numPr>
          <w:ilvl w:val="0"/>
          <w:numId w:val="0"/>
        </w:numPr>
        <w:outlineLvl w:val="0"/>
        <w:rPr>
          <w:b/>
        </w:rPr>
      </w:pPr>
      <w:r>
        <w:rPr>
          <w:b/>
        </w:rPr>
      </w:r>
    </w:p>
    <w:p>
      <w:pPr>
        <w:pStyle w:val="BodyText"/>
        <w:rPr/>
      </w:pPr>
      <w:r>
        <w:rPr/>
        <w:t>Enron asked MRW &amp; Associates (MRW) to prepare a very expedited assessment of the implications of current California legislative and regulatory activities on bundled service rates for Pacific Gas and Electric Company (PG&amp;E) and Southern California Edison Company (SCE). As part of this assessment, we analyzed Governor Davis' plan for stabilizing electric rates for PG&amp;E and SCE. We estimated the impact of implementing AB1X and legislation proposed in SB47X to determine the funds available from revenues in current rates for purchases by the California Department of Water Resources (DWR) to cover the utilities' net short positions. In addition, we examined the utilities' respective undercollections and the impact of the Governor's proposal for the State of California (State) to purchase the utilities' transmission systems at a price above book value. Any amount paid for the transmission systems above book value would be a component in solving the utilities' cash flow liquidity and credit rating problems and could be used by the utilities to partially offset past undercollections. This memorandum presents the results of our review and analysis.</w:t>
      </w:r>
    </w:p>
    <w:p>
      <w:pPr>
        <w:pStyle w:val="Normal"/>
        <w:rPr/>
      </w:pPr>
      <w:r>
        <w:rPr/>
      </w:r>
    </w:p>
    <w:p>
      <w:pPr>
        <w:pStyle w:val="Normal"/>
        <w:rPr/>
      </w:pPr>
      <w:r>
        <w:rPr/>
        <w:t>MRW found that:</w:t>
      </w:r>
    </w:p>
    <w:p>
      <w:pPr>
        <w:pStyle w:val="Normal"/>
        <w:rPr/>
      </w:pPr>
      <w:r>
        <w:rPr/>
      </w:r>
    </w:p>
    <w:p>
      <w:pPr>
        <w:pStyle w:val="Normal"/>
        <w:numPr>
          <w:ilvl w:val="0"/>
          <w:numId w:val="4"/>
        </w:numPr>
        <w:rPr/>
      </w:pPr>
      <w:r>
        <w:rPr/>
        <w:t xml:space="preserve">PG&amp;E and SCE will require continued collection of the 1 cent per kilowatt-hour emergency procurement surcharge. </w:t>
      </w:r>
    </w:p>
    <w:p>
      <w:pPr>
        <w:pStyle w:val="Normal"/>
        <w:ind w:start="360" w:end="0"/>
        <w:rPr/>
      </w:pPr>
      <w:r>
        <w:rPr/>
      </w:r>
    </w:p>
    <w:p>
      <w:pPr>
        <w:pStyle w:val="Normal"/>
        <w:numPr>
          <w:ilvl w:val="0"/>
          <w:numId w:val="4"/>
        </w:numPr>
        <w:rPr/>
      </w:pPr>
      <w:r>
        <w:rPr/>
        <w:t>In addition to the 1 cent per kilowatt-hour surcharge, PG&amp;E could potentially require an additional rate increase of between 1.03 and 2.11 cents per kilowatt-hour (with an expected rate increase of 1.28 cents per kilowatt-hour) to cover DWR purchases for commodity and recover past undercollections.</w:t>
      </w:r>
    </w:p>
    <w:p>
      <w:pPr>
        <w:pStyle w:val="Normal"/>
        <w:rPr/>
      </w:pPr>
      <w:r>
        <w:rPr/>
      </w:r>
    </w:p>
    <w:p>
      <w:pPr>
        <w:pStyle w:val="Normal"/>
        <w:ind w:start="360" w:end="0"/>
        <w:rPr/>
      </w:pPr>
      <w:r>
        <w:rPr/>
      </w:r>
    </w:p>
    <w:p>
      <w:pPr>
        <w:pStyle w:val="Normal"/>
        <w:numPr>
          <w:ilvl w:val="0"/>
          <w:numId w:val="3"/>
        </w:numPr>
        <w:jc w:val="both"/>
        <w:rPr/>
      </w:pPr>
      <w:r>
        <w:rPr/>
        <w:t>In addition to the 1 cent per kilowatt-hour surcharge, SCE would potentially require an additional rate increase of between 0.67 and 1.19 cents per kilowatt-hour (with an expected rate increase of 0.80 cents per kilowatt-hour) to cover DWR purchases of commodity and recover past undercollections.</w:t>
      </w:r>
    </w:p>
    <w:p>
      <w:pPr>
        <w:pStyle w:val="Normal"/>
        <w:ind w:start="360" w:end="0"/>
        <w:jc w:val="both"/>
        <w:rPr/>
      </w:pPr>
      <w:r>
        <w:rPr/>
      </w:r>
    </w:p>
    <w:p>
      <w:pPr>
        <w:pStyle w:val="Normal"/>
        <w:numPr>
          <w:ilvl w:val="0"/>
          <w:numId w:val="4"/>
        </w:numPr>
        <w:jc w:val="both"/>
        <w:rPr/>
      </w:pPr>
      <w:r>
        <w:rPr/>
        <w:t xml:space="preserve">Rate increases will most likely occur starting January 1, 2002. Such rate increases will occur for small consumers through the elimination of the 10% discount ordered in AB1890. Commercial and Industrial customers will most likely see a comparable rate increase at that time in order to maintain parity between small and large customers, especially in light of the fact that large customers are viewed as key advocates for California's past deregulation efforts. </w:t>
      </w:r>
    </w:p>
    <w:p>
      <w:pPr>
        <w:pStyle w:val="Normal"/>
        <w:ind w:start="360" w:end="0"/>
        <w:jc w:val="both"/>
        <w:rPr/>
      </w:pPr>
      <w:r>
        <w:rPr/>
      </w:r>
    </w:p>
    <w:p>
      <w:pPr>
        <w:pStyle w:val="Normal"/>
        <w:numPr>
          <w:ilvl w:val="0"/>
          <w:numId w:val="4"/>
        </w:numPr>
        <w:jc w:val="both"/>
        <w:rPr/>
      </w:pPr>
      <w:r>
        <w:rPr/>
        <w:t xml:space="preserve">Implementation of SB47X to reform prices paid to Qualifying Facilities (QFs) for energy deliveries is critical to reduce the utilities' payments to QFs and increase price stability. Without such price reforms, the utilities' and the State's future cash flow issues will be exacerbated and will result in increased pressure to immediately raise rates to cover mounting short-term undercollections. </w:t>
      </w:r>
    </w:p>
    <w:p>
      <w:pPr>
        <w:pStyle w:val="Normal"/>
        <w:jc w:val="both"/>
        <w:rPr/>
      </w:pPr>
      <w:r>
        <w:rPr/>
      </w:r>
    </w:p>
    <w:p>
      <w:pPr>
        <w:pStyle w:val="Normal"/>
        <w:numPr>
          <w:ilvl w:val="0"/>
          <w:numId w:val="4"/>
        </w:numPr>
        <w:jc w:val="both"/>
        <w:rPr/>
      </w:pPr>
      <w:r>
        <w:rPr/>
        <w:t xml:space="preserve">The Governor's proposal to purchase the utilities' transmission systems will potentially mitigate a portion of any future rate increases by allowing utilities to apply amounts paid above the book value against past undercollections, as well as to help restore the utilities' credit ratings. </w:t>
      </w:r>
    </w:p>
    <w:p>
      <w:pPr>
        <w:pStyle w:val="Normal"/>
        <w:jc w:val="both"/>
        <w:rPr/>
      </w:pPr>
      <w:r>
        <w:rPr/>
      </w:r>
    </w:p>
    <w:p>
      <w:pPr>
        <w:pStyle w:val="Normal"/>
        <w:numPr>
          <w:ilvl w:val="0"/>
          <w:numId w:val="4"/>
        </w:numPr>
        <w:jc w:val="both"/>
        <w:rPr/>
      </w:pPr>
      <w:r>
        <w:rPr/>
        <w:t xml:space="preserve">Hydrological conditions will have a significant impact on the Governor's plan to stabilize rates, especially for PG&amp;E. </w:t>
      </w:r>
    </w:p>
    <w:p>
      <w:pPr>
        <w:pStyle w:val="Normal"/>
        <w:jc w:val="both"/>
        <w:rPr/>
      </w:pPr>
      <w:r>
        <w:rPr/>
      </w:r>
    </w:p>
    <w:p>
      <w:pPr>
        <w:pStyle w:val="Normal"/>
        <w:numPr>
          <w:ilvl w:val="0"/>
          <w:numId w:val="4"/>
        </w:numPr>
        <w:jc w:val="both"/>
        <w:rPr/>
      </w:pPr>
      <w:r>
        <w:rPr/>
        <w:t>Conservation efforts could prevent rate increases by reducing the utilities' net short positions. In an effort to encourage immediate conservation, an additional surcharge may be implemented prior to 2002 to residential customers for use in excess of 130% of baseline quantities and a surcharge for all use to commercial and industrial customers.</w:t>
      </w:r>
    </w:p>
    <w:p>
      <w:pPr>
        <w:pStyle w:val="Normal"/>
        <w:jc w:val="both"/>
        <w:rPr/>
      </w:pPr>
      <w:r>
        <w:rPr/>
      </w:r>
    </w:p>
    <w:p>
      <w:pPr>
        <w:pStyle w:val="Normal"/>
        <w:numPr>
          <w:ilvl w:val="0"/>
          <w:numId w:val="4"/>
        </w:numPr>
        <w:jc w:val="both"/>
        <w:rPr/>
      </w:pPr>
      <w:r>
        <w:rPr/>
        <w:t xml:space="preserve">Although implementation of market-based rates is still a remote possibility for customers with demands above 100 kW similar to the rate structure implemented in San Diego Gas and Electric's (SDG&amp;E) service territory, such an outcome is not expected. </w:t>
      </w:r>
    </w:p>
    <w:p>
      <w:pPr>
        <w:pStyle w:val="Normal"/>
        <w:jc w:val="both"/>
        <w:rPr/>
      </w:pPr>
      <w:r>
        <w:rPr/>
      </w:r>
    </w:p>
    <w:p>
      <w:pPr>
        <w:pStyle w:val="Normal"/>
        <w:numPr>
          <w:ilvl w:val="0"/>
          <w:numId w:val="4"/>
        </w:numPr>
        <w:jc w:val="both"/>
        <w:rPr/>
      </w:pPr>
      <w:r>
        <w:rPr/>
        <w:t>Rate increases prior to 2003 will most likely be implemented on an equal cents per kilowatt-hour basis to all customers. Due to the crisis environment, we assume that there is not adequate time for addressing complex cost allocation and rate design issues.  In addition, we assume that, because 2002 is an election year, significant rate design and market structure changes will likely be postponed until 2003.</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The following table summarizes are findings for different scenarios.</w:t>
      </w:r>
    </w:p>
    <w:p>
      <w:pPr>
        <w:pStyle w:val="Normal"/>
        <w:rPr/>
      </w:pPr>
      <w:r>
        <w:rPr/>
      </w:r>
    </w:p>
    <w:p>
      <w:pPr>
        <w:pStyle w:val="Normal"/>
        <w:numPr>
          <w:ilvl w:val="0"/>
          <w:numId w:val="0"/>
        </w:numPr>
        <w:jc w:val="center"/>
        <w:outlineLvl w:val="0"/>
        <w:rPr>
          <w:b/>
        </w:rPr>
      </w:pPr>
      <w:r>
        <w:rPr>
          <w:b/>
        </w:rPr>
        <w:t>TABLE 1</w:t>
      </w:r>
    </w:p>
    <w:p>
      <w:pPr>
        <w:pStyle w:val="Normal"/>
        <w:numPr>
          <w:ilvl w:val="0"/>
          <w:numId w:val="0"/>
        </w:numPr>
        <w:jc w:val="center"/>
        <w:outlineLvl w:val="0"/>
        <w:rPr>
          <w:b/>
        </w:rPr>
      </w:pPr>
      <w:r>
        <w:rPr>
          <w:b/>
        </w:rPr>
        <w:t>Range of Rate Increases Under Different Scenarios</w:t>
      </w:r>
    </w:p>
    <w:p>
      <w:pPr>
        <w:pStyle w:val="Normal"/>
        <w:numPr>
          <w:ilvl w:val="0"/>
          <w:numId w:val="0"/>
        </w:numPr>
        <w:jc w:val="center"/>
        <w:outlineLvl w:val="0"/>
        <w:rPr>
          <w:b/>
        </w:rPr>
      </w:pPr>
      <w:r>
        <w:rPr>
          <w:b/>
        </w:rPr>
        <w:t>(mills/kWh)</w:t>
      </w:r>
    </w:p>
    <w:tbl>
      <w:tblPr>
        <w:tblW w:w="9576" w:type="dxa"/>
        <w:jc w:val="start"/>
        <w:tblInd w:w="0" w:type="dxa"/>
        <w:tblLayout w:type="fixed"/>
        <w:tblCellMar>
          <w:top w:w="0" w:type="dxa"/>
          <w:start w:w="108" w:type="dxa"/>
          <w:bottom w:w="0" w:type="dxa"/>
          <w:end w:w="108" w:type="dxa"/>
        </w:tblCellMar>
      </w:tblPr>
      <w:tblGrid>
        <w:gridCol w:w="1548"/>
        <w:gridCol w:w="1260"/>
        <w:gridCol w:w="1296"/>
        <w:gridCol w:w="1368"/>
        <w:gridCol w:w="1368"/>
        <w:gridCol w:w="1368"/>
        <w:gridCol w:w="1368"/>
      </w:tblGrid>
      <w:tr>
        <w:trPr/>
        <w:tc>
          <w:tcPr>
            <w:tcW w:w="1548" w:type="dxa"/>
            <w:tcBorders>
              <w:top w:val="single" w:sz="8" w:space="0" w:color="000000"/>
              <w:start w:val="single" w:sz="8" w:space="0" w:color="000000"/>
              <w:bottom w:val="single" w:sz="8" w:space="0" w:color="000000"/>
              <w:end w:val="single" w:sz="8" w:space="0" w:color="000000"/>
            </w:tcBorders>
          </w:tcPr>
          <w:p>
            <w:pPr>
              <w:pStyle w:val="Normal"/>
              <w:snapToGrid w:val="false"/>
              <w:rPr/>
            </w:pPr>
            <w:r>
              <w:rPr/>
            </w:r>
          </w:p>
        </w:tc>
        <w:tc>
          <w:tcPr>
            <w:tcW w:w="3924" w:type="dxa"/>
            <w:gridSpan w:val="3"/>
            <w:tcBorders>
              <w:top w:val="single" w:sz="8" w:space="0" w:color="000000"/>
              <w:start w:val="single" w:sz="8" w:space="0" w:color="000000"/>
              <w:bottom w:val="single" w:sz="8" w:space="0" w:color="000000"/>
              <w:end w:val="single" w:sz="8" w:space="0" w:color="000000"/>
            </w:tcBorders>
          </w:tcPr>
          <w:p>
            <w:pPr>
              <w:pStyle w:val="Normal"/>
              <w:jc w:val="center"/>
              <w:rPr/>
            </w:pPr>
            <w:r>
              <w:rPr/>
              <w:t>PG&amp;E</w:t>
            </w:r>
          </w:p>
        </w:tc>
        <w:tc>
          <w:tcPr>
            <w:tcW w:w="4104" w:type="dxa"/>
            <w:gridSpan w:val="3"/>
            <w:tcBorders>
              <w:top w:val="single" w:sz="8" w:space="0" w:color="000000"/>
              <w:start w:val="single" w:sz="8" w:space="0" w:color="000000"/>
              <w:bottom w:val="single" w:sz="8" w:space="0" w:color="000000"/>
              <w:end w:val="single" w:sz="8" w:space="0" w:color="000000"/>
            </w:tcBorders>
          </w:tcPr>
          <w:p>
            <w:pPr>
              <w:pStyle w:val="Normal"/>
              <w:jc w:val="center"/>
              <w:rPr/>
            </w:pPr>
            <w:r>
              <w:rPr/>
              <w:t>SCE</w:t>
            </w:r>
          </w:p>
        </w:tc>
      </w:tr>
      <w:tr>
        <w:trPr/>
        <w:tc>
          <w:tcPr>
            <w:tcW w:w="1548" w:type="dxa"/>
            <w:tcBorders>
              <w:top w:val="single" w:sz="8" w:space="0" w:color="000000"/>
              <w:start w:val="single" w:sz="8" w:space="0" w:color="000000"/>
              <w:bottom w:val="single" w:sz="8" w:space="0" w:color="000000"/>
              <w:end w:val="single" w:sz="8" w:space="0" w:color="000000"/>
            </w:tcBorders>
          </w:tcPr>
          <w:p>
            <w:pPr>
              <w:pStyle w:val="Normal"/>
              <w:snapToGrid w:val="false"/>
              <w:rPr/>
            </w:pPr>
            <w:r>
              <w:rPr/>
            </w:r>
          </w:p>
        </w:tc>
        <w:tc>
          <w:tcPr>
            <w:tcW w:w="1260" w:type="dxa"/>
            <w:tcBorders>
              <w:top w:val="single" w:sz="8" w:space="0" w:color="000000"/>
              <w:start w:val="single" w:sz="8" w:space="0" w:color="000000"/>
              <w:bottom w:val="single" w:sz="8" w:space="0" w:color="000000"/>
              <w:end w:val="single" w:sz="8" w:space="0" w:color="000000"/>
            </w:tcBorders>
          </w:tcPr>
          <w:p>
            <w:pPr>
              <w:pStyle w:val="Normal"/>
              <w:rPr/>
            </w:pPr>
            <w:r>
              <w:rPr/>
              <w:t>Normal Hydro</w:t>
            </w:r>
          </w:p>
        </w:tc>
        <w:tc>
          <w:tcPr>
            <w:tcW w:w="1296" w:type="dxa"/>
            <w:tcBorders>
              <w:top w:val="single" w:sz="8" w:space="0" w:color="000000"/>
              <w:start w:val="single" w:sz="8" w:space="0" w:color="000000"/>
              <w:bottom w:val="single" w:sz="8" w:space="0" w:color="000000"/>
              <w:end w:val="single" w:sz="8" w:space="0" w:color="000000"/>
            </w:tcBorders>
          </w:tcPr>
          <w:p>
            <w:pPr>
              <w:pStyle w:val="Normal"/>
              <w:rPr/>
            </w:pPr>
            <w:r>
              <w:rPr/>
              <w:t>Dry Hydro</w:t>
            </w:r>
          </w:p>
        </w:tc>
        <w:tc>
          <w:tcPr>
            <w:tcW w:w="1368" w:type="dxa"/>
            <w:tcBorders>
              <w:top w:val="single" w:sz="8" w:space="0" w:color="000000"/>
              <w:start w:val="single" w:sz="8" w:space="0" w:color="000000"/>
              <w:bottom w:val="single" w:sz="8" w:space="0" w:color="000000"/>
              <w:end w:val="single" w:sz="8" w:space="0" w:color="000000"/>
            </w:tcBorders>
          </w:tcPr>
          <w:p>
            <w:pPr>
              <w:pStyle w:val="Normal"/>
              <w:rPr/>
            </w:pPr>
            <w:r>
              <w:rPr/>
              <w:t>Wet Hydro</w:t>
            </w:r>
          </w:p>
        </w:tc>
        <w:tc>
          <w:tcPr>
            <w:tcW w:w="1368" w:type="dxa"/>
            <w:tcBorders>
              <w:top w:val="single" w:sz="8" w:space="0" w:color="000000"/>
              <w:start w:val="single" w:sz="8" w:space="0" w:color="000000"/>
              <w:bottom w:val="single" w:sz="8" w:space="0" w:color="000000"/>
              <w:end w:val="single" w:sz="8" w:space="0" w:color="000000"/>
            </w:tcBorders>
          </w:tcPr>
          <w:p>
            <w:pPr>
              <w:pStyle w:val="Normal"/>
              <w:rPr/>
            </w:pPr>
            <w:r>
              <w:rPr/>
              <w:t>Normal Hydro</w:t>
            </w:r>
          </w:p>
        </w:tc>
        <w:tc>
          <w:tcPr>
            <w:tcW w:w="1368" w:type="dxa"/>
            <w:tcBorders>
              <w:top w:val="single" w:sz="8" w:space="0" w:color="000000"/>
              <w:start w:val="single" w:sz="8" w:space="0" w:color="000000"/>
              <w:bottom w:val="single" w:sz="8" w:space="0" w:color="000000"/>
              <w:end w:val="single" w:sz="8" w:space="0" w:color="000000"/>
            </w:tcBorders>
          </w:tcPr>
          <w:p>
            <w:pPr>
              <w:pStyle w:val="Normal"/>
              <w:rPr/>
            </w:pPr>
            <w:r>
              <w:rPr/>
              <w:t>Dry Hydro</w:t>
            </w:r>
          </w:p>
        </w:tc>
        <w:tc>
          <w:tcPr>
            <w:tcW w:w="1368" w:type="dxa"/>
            <w:tcBorders>
              <w:top w:val="single" w:sz="8" w:space="0" w:color="000000"/>
              <w:start w:val="single" w:sz="8" w:space="0" w:color="000000"/>
              <w:bottom w:val="single" w:sz="8" w:space="0" w:color="000000"/>
              <w:end w:val="single" w:sz="8" w:space="0" w:color="000000"/>
            </w:tcBorders>
          </w:tcPr>
          <w:p>
            <w:pPr>
              <w:pStyle w:val="Normal"/>
              <w:rPr/>
            </w:pPr>
            <w:r>
              <w:rPr/>
              <w:t>Wet Hydro</w:t>
            </w:r>
          </w:p>
        </w:tc>
      </w:tr>
      <w:tr>
        <w:trPr/>
        <w:tc>
          <w:tcPr>
            <w:tcW w:w="1548" w:type="dxa"/>
            <w:tcBorders>
              <w:top w:val="single" w:sz="8" w:space="0" w:color="000000"/>
              <w:start w:val="single" w:sz="8" w:space="0" w:color="000000"/>
              <w:bottom w:val="single" w:sz="8" w:space="0" w:color="000000"/>
              <w:end w:val="single" w:sz="8" w:space="0" w:color="000000"/>
            </w:tcBorders>
          </w:tcPr>
          <w:p>
            <w:pPr>
              <w:pStyle w:val="Normal"/>
              <w:rPr/>
            </w:pPr>
            <w:r>
              <w:rPr/>
              <w:t>Transmission System Sale</w:t>
            </w:r>
          </w:p>
        </w:tc>
        <w:tc>
          <w:tcPr>
            <w:tcW w:w="1260" w:type="dxa"/>
            <w:tcBorders>
              <w:top w:val="single" w:sz="8" w:space="0" w:color="000000"/>
              <w:start w:val="single" w:sz="8" w:space="0" w:color="000000"/>
              <w:bottom w:val="single" w:sz="8" w:space="0" w:color="000000"/>
              <w:end w:val="single" w:sz="8" w:space="0" w:color="000000"/>
            </w:tcBorders>
          </w:tcPr>
          <w:p>
            <w:pPr>
              <w:pStyle w:val="Normal"/>
              <w:snapToGrid w:val="false"/>
              <w:rPr/>
            </w:pPr>
            <w:r>
              <w:rPr/>
            </w:r>
          </w:p>
          <w:p>
            <w:pPr>
              <w:pStyle w:val="Normal"/>
              <w:rPr/>
            </w:pPr>
            <w:r>
              <w:rPr/>
              <w:t>12.8</w:t>
            </w:r>
          </w:p>
        </w:tc>
        <w:tc>
          <w:tcPr>
            <w:tcW w:w="1296" w:type="dxa"/>
            <w:tcBorders>
              <w:top w:val="single" w:sz="8" w:space="0" w:color="000000"/>
              <w:start w:val="single" w:sz="8" w:space="0" w:color="000000"/>
              <w:bottom w:val="single" w:sz="8" w:space="0" w:color="000000"/>
              <w:end w:val="single" w:sz="8" w:space="0" w:color="000000"/>
            </w:tcBorders>
          </w:tcPr>
          <w:p>
            <w:pPr>
              <w:pStyle w:val="Normal"/>
              <w:snapToGrid w:val="false"/>
              <w:rPr/>
            </w:pPr>
            <w:r>
              <w:rPr/>
            </w:r>
          </w:p>
          <w:p>
            <w:pPr>
              <w:pStyle w:val="Normal"/>
              <w:rPr/>
            </w:pPr>
            <w:r>
              <w:rPr/>
              <w:t>17.2</w:t>
            </w:r>
          </w:p>
        </w:tc>
        <w:tc>
          <w:tcPr>
            <w:tcW w:w="1368" w:type="dxa"/>
            <w:tcBorders>
              <w:top w:val="single" w:sz="8" w:space="0" w:color="000000"/>
              <w:start w:val="single" w:sz="8" w:space="0" w:color="000000"/>
              <w:bottom w:val="single" w:sz="8" w:space="0" w:color="000000"/>
              <w:end w:val="single" w:sz="8" w:space="0" w:color="000000"/>
            </w:tcBorders>
          </w:tcPr>
          <w:p>
            <w:pPr>
              <w:pStyle w:val="Normal"/>
              <w:snapToGrid w:val="false"/>
              <w:rPr/>
            </w:pPr>
            <w:r>
              <w:rPr/>
            </w:r>
          </w:p>
          <w:p>
            <w:pPr>
              <w:pStyle w:val="Normal"/>
              <w:rPr/>
            </w:pPr>
            <w:r>
              <w:rPr/>
              <w:t>10.3</w:t>
            </w:r>
          </w:p>
        </w:tc>
        <w:tc>
          <w:tcPr>
            <w:tcW w:w="1368" w:type="dxa"/>
            <w:tcBorders>
              <w:top w:val="single" w:sz="8" w:space="0" w:color="000000"/>
              <w:start w:val="single" w:sz="8" w:space="0" w:color="000000"/>
              <w:bottom w:val="single" w:sz="8" w:space="0" w:color="000000"/>
              <w:end w:val="single" w:sz="8" w:space="0" w:color="000000"/>
            </w:tcBorders>
          </w:tcPr>
          <w:p>
            <w:pPr>
              <w:pStyle w:val="Normal"/>
              <w:snapToGrid w:val="false"/>
              <w:rPr/>
            </w:pPr>
            <w:r>
              <w:rPr/>
            </w:r>
          </w:p>
          <w:p>
            <w:pPr>
              <w:pStyle w:val="Normal"/>
              <w:rPr/>
            </w:pPr>
            <w:r>
              <w:rPr/>
              <w:t>8.0</w:t>
            </w:r>
          </w:p>
        </w:tc>
        <w:tc>
          <w:tcPr>
            <w:tcW w:w="1368" w:type="dxa"/>
            <w:tcBorders>
              <w:top w:val="single" w:sz="8" w:space="0" w:color="000000"/>
              <w:start w:val="single" w:sz="8" w:space="0" w:color="000000"/>
              <w:bottom w:val="single" w:sz="8" w:space="0" w:color="000000"/>
              <w:end w:val="single" w:sz="8" w:space="0" w:color="000000"/>
            </w:tcBorders>
          </w:tcPr>
          <w:p>
            <w:pPr>
              <w:pStyle w:val="Normal"/>
              <w:snapToGrid w:val="false"/>
              <w:rPr/>
            </w:pPr>
            <w:r>
              <w:rPr/>
            </w:r>
          </w:p>
          <w:p>
            <w:pPr>
              <w:pStyle w:val="Normal"/>
              <w:rPr/>
            </w:pPr>
            <w:r>
              <w:rPr/>
              <w:t>9.4</w:t>
            </w:r>
          </w:p>
        </w:tc>
        <w:tc>
          <w:tcPr>
            <w:tcW w:w="1368" w:type="dxa"/>
            <w:tcBorders>
              <w:top w:val="single" w:sz="8" w:space="0" w:color="000000"/>
              <w:start w:val="single" w:sz="8" w:space="0" w:color="000000"/>
              <w:bottom w:val="single" w:sz="8" w:space="0" w:color="000000"/>
              <w:end w:val="single" w:sz="8" w:space="0" w:color="000000"/>
            </w:tcBorders>
          </w:tcPr>
          <w:p>
            <w:pPr>
              <w:pStyle w:val="Normal"/>
              <w:snapToGrid w:val="false"/>
              <w:rPr/>
            </w:pPr>
            <w:r>
              <w:rPr/>
            </w:r>
          </w:p>
          <w:p>
            <w:pPr>
              <w:pStyle w:val="Normal"/>
              <w:rPr/>
            </w:pPr>
            <w:r>
              <w:rPr/>
              <w:t>6.7</w:t>
            </w:r>
          </w:p>
        </w:tc>
      </w:tr>
      <w:tr>
        <w:trPr/>
        <w:tc>
          <w:tcPr>
            <w:tcW w:w="1548" w:type="dxa"/>
            <w:tcBorders>
              <w:top w:val="single" w:sz="8" w:space="0" w:color="000000"/>
              <w:start w:val="single" w:sz="8" w:space="0" w:color="000000"/>
              <w:bottom w:val="single" w:sz="8" w:space="0" w:color="000000"/>
              <w:end w:val="single" w:sz="8" w:space="0" w:color="000000"/>
            </w:tcBorders>
          </w:tcPr>
          <w:p>
            <w:pPr>
              <w:pStyle w:val="Normal"/>
              <w:rPr/>
            </w:pPr>
            <w:r>
              <w:rPr/>
              <w:t>No Transmission Sale</w:t>
            </w:r>
          </w:p>
        </w:tc>
        <w:tc>
          <w:tcPr>
            <w:tcW w:w="1260" w:type="dxa"/>
            <w:tcBorders>
              <w:top w:val="single" w:sz="8" w:space="0" w:color="000000"/>
              <w:start w:val="single" w:sz="8" w:space="0" w:color="000000"/>
              <w:bottom w:val="single" w:sz="8" w:space="0" w:color="000000"/>
              <w:end w:val="single" w:sz="8" w:space="0" w:color="000000"/>
            </w:tcBorders>
          </w:tcPr>
          <w:p>
            <w:pPr>
              <w:pStyle w:val="Normal"/>
              <w:snapToGrid w:val="false"/>
              <w:rPr/>
            </w:pPr>
            <w:r>
              <w:rPr/>
            </w:r>
          </w:p>
          <w:p>
            <w:pPr>
              <w:pStyle w:val="Normal"/>
              <w:rPr/>
            </w:pPr>
            <w:r>
              <w:rPr/>
              <w:t>16.7</w:t>
            </w:r>
          </w:p>
        </w:tc>
        <w:tc>
          <w:tcPr>
            <w:tcW w:w="1296" w:type="dxa"/>
            <w:tcBorders>
              <w:top w:val="single" w:sz="8" w:space="0" w:color="000000"/>
              <w:start w:val="single" w:sz="8" w:space="0" w:color="000000"/>
              <w:bottom w:val="single" w:sz="8" w:space="0" w:color="000000"/>
              <w:end w:val="single" w:sz="8" w:space="0" w:color="000000"/>
            </w:tcBorders>
          </w:tcPr>
          <w:p>
            <w:pPr>
              <w:pStyle w:val="Normal"/>
              <w:snapToGrid w:val="false"/>
              <w:rPr/>
            </w:pPr>
            <w:r>
              <w:rPr/>
            </w:r>
          </w:p>
          <w:p>
            <w:pPr>
              <w:pStyle w:val="Normal"/>
              <w:rPr/>
            </w:pPr>
            <w:r>
              <w:rPr/>
              <w:t>21.1</w:t>
            </w:r>
          </w:p>
        </w:tc>
        <w:tc>
          <w:tcPr>
            <w:tcW w:w="1368" w:type="dxa"/>
            <w:tcBorders>
              <w:top w:val="single" w:sz="8" w:space="0" w:color="000000"/>
              <w:start w:val="single" w:sz="8" w:space="0" w:color="000000"/>
              <w:bottom w:val="single" w:sz="8" w:space="0" w:color="000000"/>
              <w:end w:val="single" w:sz="8" w:space="0" w:color="000000"/>
            </w:tcBorders>
          </w:tcPr>
          <w:p>
            <w:pPr>
              <w:pStyle w:val="Normal"/>
              <w:snapToGrid w:val="false"/>
              <w:rPr/>
            </w:pPr>
            <w:r>
              <w:rPr/>
            </w:r>
          </w:p>
          <w:p>
            <w:pPr>
              <w:pStyle w:val="Normal"/>
              <w:rPr/>
            </w:pPr>
            <w:r>
              <w:rPr/>
              <w:t>14.2</w:t>
            </w:r>
          </w:p>
        </w:tc>
        <w:tc>
          <w:tcPr>
            <w:tcW w:w="1368" w:type="dxa"/>
            <w:tcBorders>
              <w:top w:val="single" w:sz="8" w:space="0" w:color="000000"/>
              <w:start w:val="single" w:sz="8" w:space="0" w:color="000000"/>
              <w:bottom w:val="single" w:sz="8" w:space="0" w:color="000000"/>
              <w:end w:val="single" w:sz="8" w:space="0" w:color="000000"/>
            </w:tcBorders>
          </w:tcPr>
          <w:p>
            <w:pPr>
              <w:pStyle w:val="Normal"/>
              <w:snapToGrid w:val="false"/>
              <w:rPr/>
            </w:pPr>
            <w:r>
              <w:rPr/>
            </w:r>
          </w:p>
          <w:p>
            <w:pPr>
              <w:pStyle w:val="Normal"/>
              <w:rPr/>
            </w:pPr>
            <w:r>
              <w:rPr/>
              <w:t>10.5</w:t>
            </w:r>
          </w:p>
        </w:tc>
        <w:tc>
          <w:tcPr>
            <w:tcW w:w="1368" w:type="dxa"/>
            <w:tcBorders>
              <w:top w:val="single" w:sz="8" w:space="0" w:color="000000"/>
              <w:start w:val="single" w:sz="8" w:space="0" w:color="000000"/>
              <w:bottom w:val="single" w:sz="8" w:space="0" w:color="000000"/>
              <w:end w:val="single" w:sz="8" w:space="0" w:color="000000"/>
            </w:tcBorders>
          </w:tcPr>
          <w:p>
            <w:pPr>
              <w:pStyle w:val="Normal"/>
              <w:snapToGrid w:val="false"/>
              <w:rPr/>
            </w:pPr>
            <w:r>
              <w:rPr/>
            </w:r>
          </w:p>
          <w:p>
            <w:pPr>
              <w:pStyle w:val="Normal"/>
              <w:rPr/>
            </w:pPr>
            <w:r>
              <w:rPr/>
              <w:t>11.9</w:t>
            </w:r>
          </w:p>
        </w:tc>
        <w:tc>
          <w:tcPr>
            <w:tcW w:w="1368" w:type="dxa"/>
            <w:tcBorders>
              <w:top w:val="single" w:sz="8" w:space="0" w:color="000000"/>
              <w:start w:val="single" w:sz="8" w:space="0" w:color="000000"/>
              <w:bottom w:val="single" w:sz="8" w:space="0" w:color="000000"/>
              <w:end w:val="single" w:sz="8" w:space="0" w:color="000000"/>
            </w:tcBorders>
          </w:tcPr>
          <w:p>
            <w:pPr>
              <w:pStyle w:val="Normal"/>
              <w:snapToGrid w:val="false"/>
              <w:rPr/>
            </w:pPr>
            <w:r>
              <w:rPr/>
            </w:r>
          </w:p>
          <w:p>
            <w:pPr>
              <w:pStyle w:val="Normal"/>
              <w:rPr/>
            </w:pPr>
            <w:r>
              <w:rPr/>
              <w:t>9.2</w:t>
            </w:r>
          </w:p>
        </w:tc>
      </w:tr>
    </w:tbl>
    <w:p>
      <w:pPr>
        <w:pStyle w:val="Normal"/>
        <w:rPr/>
      </w:pPr>
      <w:r>
        <w:rPr/>
      </w:r>
    </w:p>
    <w:p>
      <w:pPr>
        <w:pStyle w:val="BodyText"/>
        <w:rPr/>
      </w:pPr>
      <w:r>
        <w:rPr/>
        <w:t>This memo is structured as follows.  Following this summary, we discuss the potential rate increases needed to fully recover the future cost of power.  Next, we address the recovery of the current undercollection of procurement cost for the utilities.  Finally, we briefly discuss the non-commodity portion of future rates.</w:t>
      </w:r>
    </w:p>
    <w:p>
      <w:pPr>
        <w:pStyle w:val="Normal"/>
        <w:rPr/>
      </w:pPr>
      <w:r>
        <w:rPr/>
      </w:r>
    </w:p>
    <w:p>
      <w:pPr>
        <w:pStyle w:val="Normal"/>
        <w:rPr>
          <w:b/>
        </w:rPr>
      </w:pPr>
      <w:r>
        <w:rPr>
          <w:b/>
        </w:rPr>
        <w:t>Impact of Implementation of AB1X and SB47X on PG&amp;E and SCE Rates for Recovery of Going-Forward Generation Costs</w:t>
      </w:r>
    </w:p>
    <w:p>
      <w:pPr>
        <w:pStyle w:val="Normal"/>
        <w:rPr>
          <w:b/>
        </w:rPr>
      </w:pPr>
      <w:r>
        <w:rPr>
          <w:b/>
        </w:rPr>
      </w:r>
    </w:p>
    <w:p>
      <w:pPr>
        <w:pStyle w:val="Normal"/>
        <w:rPr/>
      </w:pPr>
      <w:r>
        <w:rPr/>
        <w:t>On February 1, 2001 Governor Davis signed Assembly Bill No. 1. AB1X which authorizes DWR to enter into contracts for the purchase of electricity to sell power to retail end-use customers of investor-owned utilities and local publicly-owned electric utilities.</w:t>
      </w:r>
    </w:p>
    <w:p>
      <w:pPr>
        <w:pStyle w:val="Normal"/>
        <w:rPr/>
      </w:pPr>
      <w:r>
        <w:rPr/>
      </w:r>
    </w:p>
    <w:p>
      <w:pPr>
        <w:pStyle w:val="Normal"/>
        <w:numPr>
          <w:ilvl w:val="0"/>
          <w:numId w:val="4"/>
        </w:numPr>
        <w:jc w:val="both"/>
        <w:rPr/>
      </w:pPr>
      <w:r>
        <w:rPr/>
        <w:t xml:space="preserve">The California Public Utilities Commission (Commission) will determine the California Procurement Adjustment (CPA), which is equal to the difference between the utilities' retail generation rate and the sum of the utilities' own generation, QF Contracts, existing bilateral contracts and ancillary services. The utilities will be required to pay DWR the CPA as determined by the CPUC. </w:t>
      </w:r>
    </w:p>
    <w:p>
      <w:pPr>
        <w:pStyle w:val="Normal"/>
        <w:ind w:start="360" w:end="0"/>
        <w:jc w:val="both"/>
        <w:rPr/>
      </w:pPr>
      <w:r>
        <w:rPr/>
      </w:r>
    </w:p>
    <w:p>
      <w:pPr>
        <w:pStyle w:val="Normal"/>
        <w:numPr>
          <w:ilvl w:val="0"/>
          <w:numId w:val="4"/>
        </w:numPr>
        <w:jc w:val="both"/>
        <w:rPr/>
      </w:pPr>
      <w:r>
        <w:rPr/>
        <w:t>AB1X prohibits the CPUC from increasing the electricity charges in effect for residential customers for electricity consumption up to 130% of the existing baseline quantities, until such time as DWR has recovered the costs of power it has procured. The baseline quantities vary by regions and factors in whether a consumer uses both electricity and natural gas, or only electricity.</w:t>
      </w:r>
      <w:r>
        <w:rPr>
          <w:rStyle w:val="FootnoteCharacters"/>
          <w:rStyle w:val="FootnoteReference"/>
        </w:rPr>
        <w:footnoteReference w:id="2"/>
      </w:r>
    </w:p>
    <w:p>
      <w:pPr>
        <w:pStyle w:val="Footer"/>
        <w:tabs>
          <w:tab w:val="clear" w:pos="4320"/>
          <w:tab w:val="clear" w:pos="8640"/>
        </w:tabs>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t>The table below presents an estimate of rate increases needed to ensure sufficient funding of the CPA for 2002.</w:t>
      </w:r>
      <w:r>
        <w:rPr>
          <w:rStyle w:val="FootnoteCharacters"/>
          <w:rStyle w:val="FootnoteReference"/>
        </w:rPr>
        <w:footnoteReference w:customMarkFollows="1" w:id="3"/>
        <w:t>2</w:t>
      </w:r>
    </w:p>
    <w:p>
      <w:pPr>
        <w:pStyle w:val="Normal"/>
        <w:ind w:start="360" w:end="0"/>
        <w:rPr/>
      </w:pPr>
      <w:r>
        <w:rPr/>
      </w:r>
    </w:p>
    <w:p>
      <w:pPr>
        <w:pStyle w:val="Normal"/>
        <w:numPr>
          <w:ilvl w:val="0"/>
          <w:numId w:val="0"/>
        </w:numPr>
        <w:jc w:val="center"/>
        <w:outlineLvl w:val="0"/>
        <w:rPr>
          <w:b/>
        </w:rPr>
      </w:pPr>
      <w:r>
        <w:rPr>
          <w:b/>
        </w:rPr>
        <w:t>TABLE 2</w:t>
      </w:r>
    </w:p>
    <w:p>
      <w:pPr>
        <w:pStyle w:val="Normal"/>
        <w:numPr>
          <w:ilvl w:val="0"/>
          <w:numId w:val="0"/>
        </w:numPr>
        <w:jc w:val="center"/>
        <w:outlineLvl w:val="0"/>
        <w:rPr>
          <w:b/>
        </w:rPr>
      </w:pPr>
      <w:r>
        <w:rPr>
          <w:b/>
        </w:rPr>
        <w:t>Rate Increases Due to Procurement Costs</w:t>
      </w:r>
    </w:p>
    <w:p>
      <w:pPr>
        <w:pStyle w:val="Normal"/>
        <w:numPr>
          <w:ilvl w:val="0"/>
          <w:numId w:val="0"/>
        </w:numPr>
        <w:jc w:val="center"/>
        <w:outlineLvl w:val="0"/>
        <w:rPr>
          <w:b/>
        </w:rPr>
      </w:pPr>
      <w:r>
        <w:rPr>
          <w:b/>
        </w:rPr>
        <w:t>(mills/kWh)</w:t>
      </w:r>
    </w:p>
    <w:tbl>
      <w:tblPr>
        <w:tblW w:w="8100" w:type="dxa"/>
        <w:jc w:val="start"/>
        <w:tblInd w:w="915" w:type="dxa"/>
        <w:tblLayout w:type="fixed"/>
        <w:tblCellMar>
          <w:top w:w="0" w:type="dxa"/>
          <w:start w:w="105" w:type="dxa"/>
          <w:bottom w:w="0" w:type="dxa"/>
          <w:end w:w="105" w:type="dxa"/>
        </w:tblCellMar>
      </w:tblPr>
      <w:tblGrid>
        <w:gridCol w:w="2610"/>
        <w:gridCol w:w="2520"/>
        <w:gridCol w:w="2970"/>
      </w:tblGrid>
      <w:tr>
        <w:trPr>
          <w:trHeight w:val="672" w:hRule="atLeast"/>
        </w:trPr>
        <w:tc>
          <w:tcPr>
            <w:tcW w:w="2610" w:type="dxa"/>
            <w:tcBorders>
              <w:top w:val="single" w:sz="8" w:space="0" w:color="000000"/>
              <w:start w:val="single" w:sz="8" w:space="0" w:color="000000"/>
              <w:bottom w:val="single" w:sz="8" w:space="0" w:color="000000"/>
              <w:end w:val="single" w:sz="8" w:space="0" w:color="000000"/>
            </w:tcBorders>
          </w:tcPr>
          <w:p>
            <w:pPr>
              <w:pStyle w:val="Normal"/>
              <w:snapToGrid w:val="false"/>
              <w:rPr/>
            </w:pPr>
            <w:r>
              <w:rPr/>
            </w:r>
          </w:p>
        </w:tc>
        <w:tc>
          <w:tcPr>
            <w:tcW w:w="2520" w:type="dxa"/>
            <w:tcBorders>
              <w:top w:val="single" w:sz="8" w:space="0" w:color="000000"/>
              <w:start w:val="single" w:sz="8" w:space="0" w:color="000000"/>
              <w:bottom w:val="single" w:sz="8" w:space="0" w:color="000000"/>
              <w:end w:val="single" w:sz="8" w:space="0" w:color="000000"/>
            </w:tcBorders>
          </w:tcPr>
          <w:p>
            <w:pPr>
              <w:pStyle w:val="Normal"/>
              <w:rPr/>
            </w:pPr>
            <w:r>
              <w:rPr/>
              <w:t>PG&amp;E</w:t>
            </w:r>
          </w:p>
        </w:tc>
        <w:tc>
          <w:tcPr>
            <w:tcW w:w="2970" w:type="dxa"/>
            <w:tcBorders>
              <w:top w:val="single" w:sz="8" w:space="0" w:color="000000"/>
              <w:start w:val="single" w:sz="8" w:space="0" w:color="000000"/>
              <w:bottom w:val="single" w:sz="8" w:space="0" w:color="000000"/>
              <w:end w:val="single" w:sz="8" w:space="0" w:color="000000"/>
            </w:tcBorders>
          </w:tcPr>
          <w:p>
            <w:pPr>
              <w:pStyle w:val="Normal"/>
              <w:rPr/>
            </w:pPr>
            <w:r>
              <w:rPr/>
              <w:t>SCE</w:t>
            </w:r>
          </w:p>
        </w:tc>
      </w:tr>
      <w:tr>
        <w:trPr/>
        <w:tc>
          <w:tcPr>
            <w:tcW w:w="2610" w:type="dxa"/>
            <w:tcBorders>
              <w:top w:val="single" w:sz="8" w:space="0" w:color="000000"/>
              <w:start w:val="single" w:sz="8" w:space="0" w:color="000000"/>
              <w:bottom w:val="single" w:sz="8" w:space="0" w:color="000000"/>
              <w:end w:val="single" w:sz="8" w:space="0" w:color="000000"/>
            </w:tcBorders>
          </w:tcPr>
          <w:p>
            <w:pPr>
              <w:pStyle w:val="Normal"/>
              <w:rPr/>
            </w:pPr>
            <w:r>
              <w:rPr/>
              <w:t>BASE CASE: Normal</w:t>
            </w:r>
          </w:p>
        </w:tc>
        <w:tc>
          <w:tcPr>
            <w:tcW w:w="2520" w:type="dxa"/>
            <w:tcBorders>
              <w:top w:val="single" w:sz="8" w:space="0" w:color="000000"/>
              <w:start w:val="single" w:sz="8" w:space="0" w:color="000000"/>
              <w:bottom w:val="single" w:sz="8" w:space="0" w:color="000000"/>
              <w:end w:val="single" w:sz="8" w:space="0" w:color="000000"/>
            </w:tcBorders>
          </w:tcPr>
          <w:p>
            <w:pPr>
              <w:pStyle w:val="Normal"/>
              <w:rPr/>
            </w:pPr>
            <w:r>
              <w:rPr/>
              <w:t>8.1</w:t>
            </w:r>
          </w:p>
        </w:tc>
        <w:tc>
          <w:tcPr>
            <w:tcW w:w="2970" w:type="dxa"/>
            <w:tcBorders>
              <w:top w:val="single" w:sz="8" w:space="0" w:color="000000"/>
              <w:start w:val="single" w:sz="8" w:space="0" w:color="000000"/>
              <w:bottom w:val="single" w:sz="8" w:space="0" w:color="000000"/>
              <w:end w:val="single" w:sz="8" w:space="0" w:color="000000"/>
            </w:tcBorders>
          </w:tcPr>
          <w:p>
            <w:pPr>
              <w:pStyle w:val="Normal"/>
              <w:rPr/>
            </w:pPr>
            <w:r>
              <w:rPr/>
              <w:t>5.4</w:t>
            </w:r>
          </w:p>
        </w:tc>
      </w:tr>
      <w:tr>
        <w:trPr/>
        <w:tc>
          <w:tcPr>
            <w:tcW w:w="2610" w:type="dxa"/>
            <w:tcBorders>
              <w:top w:val="single" w:sz="8" w:space="0" w:color="000000"/>
              <w:start w:val="single" w:sz="8" w:space="0" w:color="000000"/>
              <w:bottom w:val="single" w:sz="8" w:space="0" w:color="000000"/>
              <w:end w:val="single" w:sz="8" w:space="0" w:color="000000"/>
            </w:tcBorders>
          </w:tcPr>
          <w:p>
            <w:pPr>
              <w:pStyle w:val="Normal"/>
              <w:rPr/>
            </w:pPr>
            <w:r>
              <w:rPr/>
              <w:t>Dry</w:t>
            </w:r>
          </w:p>
        </w:tc>
        <w:tc>
          <w:tcPr>
            <w:tcW w:w="2520" w:type="dxa"/>
            <w:tcBorders>
              <w:top w:val="single" w:sz="8" w:space="0" w:color="000000"/>
              <w:start w:val="single" w:sz="8" w:space="0" w:color="000000"/>
              <w:bottom w:val="single" w:sz="8" w:space="0" w:color="000000"/>
              <w:end w:val="single" w:sz="8" w:space="0" w:color="000000"/>
            </w:tcBorders>
          </w:tcPr>
          <w:p>
            <w:pPr>
              <w:pStyle w:val="Normal"/>
              <w:rPr/>
            </w:pPr>
            <w:r>
              <w:rPr/>
              <w:t>12.5</w:t>
            </w:r>
          </w:p>
        </w:tc>
        <w:tc>
          <w:tcPr>
            <w:tcW w:w="2970" w:type="dxa"/>
            <w:tcBorders>
              <w:top w:val="single" w:sz="8" w:space="0" w:color="000000"/>
              <w:start w:val="single" w:sz="8" w:space="0" w:color="000000"/>
              <w:bottom w:val="single" w:sz="8" w:space="0" w:color="000000"/>
              <w:end w:val="single" w:sz="8" w:space="0" w:color="000000"/>
            </w:tcBorders>
          </w:tcPr>
          <w:p>
            <w:pPr>
              <w:pStyle w:val="Normal"/>
              <w:rPr/>
            </w:pPr>
            <w:r>
              <w:rPr/>
              <w:t>6.8</w:t>
            </w:r>
          </w:p>
        </w:tc>
      </w:tr>
      <w:tr>
        <w:trPr/>
        <w:tc>
          <w:tcPr>
            <w:tcW w:w="2610" w:type="dxa"/>
            <w:tcBorders>
              <w:top w:val="single" w:sz="8" w:space="0" w:color="000000"/>
              <w:start w:val="single" w:sz="8" w:space="0" w:color="000000"/>
              <w:bottom w:val="single" w:sz="8" w:space="0" w:color="000000"/>
              <w:end w:val="single" w:sz="8" w:space="0" w:color="000000"/>
            </w:tcBorders>
          </w:tcPr>
          <w:p>
            <w:pPr>
              <w:pStyle w:val="Normal"/>
              <w:rPr/>
            </w:pPr>
            <w:r>
              <w:rPr/>
              <w:t>Wet</w:t>
            </w:r>
          </w:p>
        </w:tc>
        <w:tc>
          <w:tcPr>
            <w:tcW w:w="2520" w:type="dxa"/>
            <w:tcBorders>
              <w:top w:val="single" w:sz="8" w:space="0" w:color="000000"/>
              <w:start w:val="single" w:sz="8" w:space="0" w:color="000000"/>
              <w:bottom w:val="single" w:sz="8" w:space="0" w:color="000000"/>
              <w:end w:val="single" w:sz="8" w:space="0" w:color="000000"/>
            </w:tcBorders>
          </w:tcPr>
          <w:p>
            <w:pPr>
              <w:pStyle w:val="Normal"/>
              <w:rPr/>
            </w:pPr>
            <w:r>
              <w:rPr/>
              <w:t xml:space="preserve">5.6 </w:t>
            </w:r>
          </w:p>
        </w:tc>
        <w:tc>
          <w:tcPr>
            <w:tcW w:w="2970" w:type="dxa"/>
            <w:tcBorders>
              <w:top w:val="single" w:sz="8" w:space="0" w:color="000000"/>
              <w:start w:val="single" w:sz="8" w:space="0" w:color="000000"/>
              <w:bottom w:val="single" w:sz="8" w:space="0" w:color="000000"/>
              <w:end w:val="single" w:sz="8" w:space="0" w:color="000000"/>
            </w:tcBorders>
          </w:tcPr>
          <w:p>
            <w:pPr>
              <w:pStyle w:val="Normal"/>
              <w:rPr/>
            </w:pPr>
            <w:r>
              <w:rPr/>
              <w:t>4.1</w:t>
            </w:r>
          </w:p>
        </w:tc>
      </w:tr>
    </w:tbl>
    <w:p>
      <w:pPr>
        <w:pStyle w:val="Normal"/>
        <w:ind w:start="360" w:end="0"/>
        <w:rPr/>
      </w:pPr>
      <w:r>
        <w:rPr/>
        <w:t> </w:t>
      </w:r>
    </w:p>
    <w:p>
      <w:pPr>
        <w:pStyle w:val="Heading3"/>
        <w:widowControl w:val="false"/>
        <w:ind w:hanging="0" w:start="0"/>
        <w:rPr>
          <w:lang w:eastAsia="en-US"/>
        </w:rPr>
      </w:pPr>
      <w:r>
        <w:rPr>
          <w:lang w:eastAsia="en-US"/>
        </w:rPr>
        <w:t>Methodology and Assumptions</w:t>
      </w:r>
    </w:p>
    <w:p>
      <w:pPr>
        <w:pStyle w:val="Normal"/>
        <w:numPr>
          <w:ilvl w:val="0"/>
          <w:numId w:val="0"/>
        </w:numPr>
        <w:outlineLvl w:val="0"/>
        <w:rPr>
          <w:i/>
          <w:i/>
          <w:lang w:eastAsia="en-US"/>
        </w:rPr>
      </w:pPr>
      <w:r>
        <w:rPr>
          <w:i/>
          <w:lang w:eastAsia="en-US"/>
        </w:rPr>
      </w:r>
    </w:p>
    <w:p>
      <w:pPr>
        <w:pStyle w:val="Normal"/>
        <w:jc w:val="both"/>
        <w:rPr/>
      </w:pPr>
      <w:r>
        <w:rPr/>
        <w:t>MRW developed the estimates in Table 2 by reviewing utility estimates of funds available for transfer to DWR. MRW analyzed the utility estimates by evaluating assumptions on generation output and revenue requirements against other filings previously submitted by the utilities.  We also analyzed the Office of Ratepayer Advocates' (ORA) testimony on going-forward costs for future rates filed in Phase I of the Rate Stabilization proceeding. Based on these filings, we developed three possible scenarios: a base case assuming a normal hydro condition, rates for a dry hydro year, and rates for a wet hydro year.  This analysis relied upon data submitted by the utilities and ORA when we deemed that data to be a reasonable.</w:t>
      </w:r>
    </w:p>
    <w:p>
      <w:pPr>
        <w:pStyle w:val="Normal"/>
        <w:jc w:val="both"/>
        <w:rPr/>
      </w:pPr>
      <w:r>
        <w:rPr/>
      </w:r>
    </w:p>
    <w:p>
      <w:pPr>
        <w:pStyle w:val="Normal"/>
        <w:jc w:val="both"/>
        <w:rPr/>
      </w:pPr>
      <w:r>
        <w:rPr/>
        <w:t>In determining whether such data is reasonable, MRW compared the utilities and ORA's assumptions to historical data.  We observed that the utilities tended to use conservative generation output, thereby reducing the availability of lower cost resources and increasing the net short position that would need to be served by DWR.  ORA's assumptions tended to conservatively estimate costs, which would result in less of a need to increase rates.</w:t>
      </w:r>
    </w:p>
    <w:p>
      <w:pPr>
        <w:pStyle w:val="Normal"/>
        <w:rPr/>
      </w:pPr>
      <w:r>
        <w:rPr/>
      </w:r>
    </w:p>
    <w:p>
      <w:pPr>
        <w:pStyle w:val="BodyText"/>
        <w:rPr/>
      </w:pPr>
      <w:r>
        <w:rPr/>
        <w:t>For this expedited analysis, MRW relied on publicly available forecasts of forward power prices and the revenue requirement for existing generation.  MRW assumed a weighted average portfolio cost of 80 $/MWh for purchases by DWR and ancillary services of 10 $/MWh.  We also assume prices paid to QFs average 80 $/MWh, which assumes that SB47X is enacted.</w:t>
      </w:r>
      <w:r>
        <w:rPr>
          <w:rStyle w:val="FootnoteCharacters"/>
        </w:rPr>
        <w:t>3</w:t>
      </w:r>
      <w:r>
        <w:rPr/>
        <w:t xml:space="preserve"> Our analysis is based on the scenario that there is no Direct Access Load and no impact of voluntary conservation.  Based on these assumptions, we estimated the utilities' respective weighted average portfolio cost and compared this amount to the generation component in utility rates.</w:t>
      </w:r>
    </w:p>
    <w:p>
      <w:pPr>
        <w:pStyle w:val="Normal"/>
        <w:rPr/>
      </w:pPr>
      <w:r>
        <w:rPr/>
      </w:r>
    </w:p>
    <w:p>
      <w:pPr>
        <w:pStyle w:val="Normal"/>
        <w:rPr>
          <w:b/>
        </w:rPr>
      </w:pPr>
      <w:r>
        <w:rPr>
          <w:b/>
        </w:rPr>
        <w:t>Impact of Implementation of the State Purchase of PG&amp;E's and SCE's Transmission Systems and Recovery of Past Undercollections on Rates</w:t>
      </w:r>
    </w:p>
    <w:p>
      <w:pPr>
        <w:pStyle w:val="Normal"/>
        <w:rPr>
          <w:b/>
        </w:rPr>
      </w:pPr>
      <w:r>
        <w:rPr>
          <w:b/>
        </w:rPr>
      </w:r>
    </w:p>
    <w:p>
      <w:pPr>
        <w:pStyle w:val="Normal"/>
        <w:jc w:val="both"/>
        <w:rPr/>
      </w:pPr>
      <w:r>
        <w:rPr/>
        <w:t>The Governor is currently negotiating with utilities for the State to purchase the transmission systems from the utilities at a price above book value. If successful, this plan will provide utilities with funds to reduce the past undercollections incurred by the utilities and will likely result in improved credit ratings. However, the sale proceeds will most likely be short of covering the utilities' entire undercollections.  If the Governor's plan is not successful, the utilities will need approval from the Commission to raise rates for recovery of past undercollections that could possibly be securitized, or face the prospect of bankruptcy.</w:t>
      </w:r>
    </w:p>
    <w:p>
      <w:pPr>
        <w:pStyle w:val="Normal"/>
        <w:jc w:val="both"/>
        <w:rPr/>
      </w:pPr>
      <w:r>
        <w:rPr/>
      </w:r>
    </w:p>
    <w:p>
      <w:pPr>
        <w:pStyle w:val="BodyText"/>
        <w:rPr/>
      </w:pPr>
      <w:r>
        <w:rPr/>
        <w:t>Critical to the Governor's plan is the cooperation of utilities in selling the transmission assets to the State. Reportedly, SCE has tentatively agreed to a price in the neighborhood of 2.3 times the current book value. Although the Governor's negotiations with PG&amp;E are not as advanced as with SCE, reports have circulated that PG&amp;E has expressed new interest in negotiating the sale of their transmission assets.</w:t>
      </w:r>
    </w:p>
    <w:p>
      <w:pPr>
        <w:pStyle w:val="Normal"/>
        <w:rPr/>
      </w:pPr>
      <w:r>
        <w:rPr/>
      </w:r>
    </w:p>
    <w:p>
      <w:pPr>
        <w:pStyle w:val="BodyText"/>
        <w:rPr/>
      </w:pPr>
      <w:r>
        <w:rPr/>
        <w:t xml:space="preserve">To date, consumer activists and legislative leaders have not embraced the Governor's plan. Many Republican State legislators oppose state ownership. Democratic leaders fear the prices paid may be too high and view this aspect of the plan as a benefit to the unpaid generators. Consumer activists oppose the plan and view the purchase as a bailout. Reportedly, FERC has not demonstrated much support for public ownership in favor of privatization. However, FERC will most likely not obstruct the plan to solve California's energy crisis, as long as FERC retains jurisdiction over transmission. </w:t>
      </w:r>
    </w:p>
    <w:p>
      <w:pPr>
        <w:pStyle w:val="BodyText"/>
        <w:rPr/>
      </w:pPr>
      <w:r>
        <w:rPr/>
      </w:r>
    </w:p>
    <w:p>
      <w:pPr>
        <w:pStyle w:val="BodyText"/>
        <w:rPr/>
      </w:pPr>
      <w:r>
        <w:rPr/>
        <w:t xml:space="preserve">It is unlikely that transmission rates would increase to cover the premium above book value paid for the transmission systems, because FERC has historically denied recovery of such "acquisition premiums" in regulated rates. The State would likely need to recover the purchase price in existing transmission rates through lower cost financing and cost saving measures. FERC's preclusion from recovering acquisitions premiums should not prevent future transmission rate increases for capital improvements.  Finally, this plan for the State to purchase the utilities' transmission systems may encounter obstacles in issuing bonds for such a purchase in addition to the bonds issued pursuant to AB1X. </w:t>
      </w:r>
    </w:p>
    <w:p>
      <w:pPr>
        <w:pStyle w:val="Normal"/>
        <w:rPr/>
      </w:pPr>
      <w:r>
        <w:rPr/>
      </w:r>
    </w:p>
    <w:p>
      <w:pPr>
        <w:pStyle w:val="Normal"/>
        <w:rPr/>
      </w:pPr>
      <w:r>
        <w:rPr/>
        <w:t>The table below estimates the utilities' respective past undercollections and revenues above book from the sale of transmission systems to apply against these undercollections.</w:t>
      </w:r>
    </w:p>
    <w:p>
      <w:pPr>
        <w:pStyle w:val="Normal"/>
        <w:rPr/>
      </w:pPr>
      <w:r>
        <w:rPr/>
      </w:r>
    </w:p>
    <w:p>
      <w:pPr>
        <w:pStyle w:val="Normal"/>
        <w:keepNext w:val="true"/>
        <w:keepLines/>
        <w:numPr>
          <w:ilvl w:val="0"/>
          <w:numId w:val="0"/>
        </w:numPr>
        <w:jc w:val="center"/>
        <w:outlineLvl w:val="0"/>
        <w:rPr>
          <w:b/>
        </w:rPr>
      </w:pPr>
      <w:r>
        <w:rPr>
          <w:b/>
        </w:rPr>
        <w:t>Table 3</w:t>
      </w:r>
    </w:p>
    <w:p>
      <w:pPr>
        <w:pStyle w:val="Heading1"/>
        <w:keepLines/>
        <w:tabs>
          <w:tab w:val="clear" w:pos="4680"/>
        </w:tabs>
        <w:ind w:hanging="0" w:start="0"/>
        <w:rPr/>
      </w:pPr>
      <w:r>
        <w:rPr/>
        <w:t>Past Undercollections and Impact on Rates</w:t>
      </w:r>
    </w:p>
    <w:tbl>
      <w:tblPr>
        <w:tblW w:w="9465" w:type="dxa"/>
        <w:jc w:val="start"/>
        <w:tblInd w:w="105" w:type="dxa"/>
        <w:tblLayout w:type="fixed"/>
        <w:tblCellMar>
          <w:top w:w="0" w:type="dxa"/>
          <w:start w:w="105" w:type="dxa"/>
          <w:bottom w:w="0" w:type="dxa"/>
          <w:end w:w="105" w:type="dxa"/>
        </w:tblCellMar>
      </w:tblPr>
      <w:tblGrid>
        <w:gridCol w:w="5611"/>
        <w:gridCol w:w="2150"/>
        <w:gridCol w:w="1704"/>
      </w:tblGrid>
      <w:tr>
        <w:trPr/>
        <w:tc>
          <w:tcPr>
            <w:tcW w:w="5611" w:type="dxa"/>
            <w:tcBorders>
              <w:top w:val="single" w:sz="8" w:space="0" w:color="000000"/>
              <w:start w:val="single" w:sz="8" w:space="0" w:color="000000"/>
              <w:bottom w:val="single" w:sz="8" w:space="0" w:color="000000"/>
              <w:end w:val="single" w:sz="8" w:space="0" w:color="000000"/>
            </w:tcBorders>
          </w:tcPr>
          <w:p>
            <w:pPr>
              <w:pStyle w:val="Normal"/>
              <w:keepNext w:val="true"/>
              <w:keepLines/>
              <w:rPr/>
            </w:pPr>
            <w:r>
              <w:rPr/>
              <w:t> </w:t>
            </w:r>
          </w:p>
        </w:tc>
        <w:tc>
          <w:tcPr>
            <w:tcW w:w="2150" w:type="dxa"/>
            <w:tcBorders>
              <w:top w:val="single" w:sz="8" w:space="0" w:color="000000"/>
              <w:start w:val="single" w:sz="8" w:space="0" w:color="000000"/>
              <w:bottom w:val="single" w:sz="8" w:space="0" w:color="000000"/>
              <w:end w:val="single" w:sz="8" w:space="0" w:color="000000"/>
            </w:tcBorders>
          </w:tcPr>
          <w:p>
            <w:pPr>
              <w:pStyle w:val="Normal"/>
              <w:keepNext w:val="true"/>
              <w:keepLines/>
              <w:rPr/>
            </w:pPr>
            <w:r>
              <w:rPr/>
              <w:t>PG&amp;E (Estimated)</w:t>
            </w:r>
          </w:p>
        </w:tc>
        <w:tc>
          <w:tcPr>
            <w:tcW w:w="1704" w:type="dxa"/>
            <w:tcBorders>
              <w:top w:val="single" w:sz="8" w:space="0" w:color="000000"/>
              <w:start w:val="single" w:sz="8" w:space="0" w:color="000000"/>
              <w:bottom w:val="single" w:sz="8" w:space="0" w:color="000000"/>
              <w:end w:val="single" w:sz="8" w:space="0" w:color="000000"/>
            </w:tcBorders>
          </w:tcPr>
          <w:p>
            <w:pPr>
              <w:pStyle w:val="Normal"/>
              <w:keepNext w:val="true"/>
              <w:keepLines/>
              <w:rPr/>
            </w:pPr>
            <w:r>
              <w:rPr/>
              <w:t>SCE</w:t>
            </w:r>
          </w:p>
        </w:tc>
      </w:tr>
      <w:tr>
        <w:trPr/>
        <w:tc>
          <w:tcPr>
            <w:tcW w:w="5611" w:type="dxa"/>
            <w:tcBorders>
              <w:top w:val="single" w:sz="8" w:space="0" w:color="000000"/>
              <w:start w:val="single" w:sz="8" w:space="0" w:color="000000"/>
              <w:bottom w:val="single" w:sz="8" w:space="0" w:color="000000"/>
              <w:end w:val="single" w:sz="8" w:space="0" w:color="000000"/>
            </w:tcBorders>
          </w:tcPr>
          <w:p>
            <w:pPr>
              <w:pStyle w:val="Normal"/>
              <w:keepNext w:val="true"/>
              <w:keepLines/>
              <w:rPr/>
            </w:pPr>
            <w:r>
              <w:rPr/>
              <w:t>Net Undercollections (Overcollections) in Balancing Accounts as of January 31, 2001</w:t>
            </w:r>
          </w:p>
        </w:tc>
        <w:tc>
          <w:tcPr>
            <w:tcW w:w="2150" w:type="dxa"/>
            <w:tcBorders>
              <w:top w:val="single" w:sz="8" w:space="0" w:color="000000"/>
              <w:start w:val="single" w:sz="8" w:space="0" w:color="000000"/>
              <w:bottom w:val="single" w:sz="8" w:space="0" w:color="000000"/>
              <w:end w:val="single" w:sz="8" w:space="0" w:color="000000"/>
            </w:tcBorders>
          </w:tcPr>
          <w:p>
            <w:pPr>
              <w:pStyle w:val="Normal"/>
              <w:keepNext w:val="true"/>
              <w:keepLines/>
              <w:rPr/>
            </w:pPr>
            <w:r>
              <w:rPr/>
              <w:t xml:space="preserve">$5.4 billion </w:t>
            </w:r>
          </w:p>
        </w:tc>
        <w:tc>
          <w:tcPr>
            <w:tcW w:w="1704" w:type="dxa"/>
            <w:tcBorders>
              <w:top w:val="single" w:sz="8" w:space="0" w:color="000000"/>
              <w:start w:val="single" w:sz="8" w:space="0" w:color="000000"/>
              <w:bottom w:val="single" w:sz="8" w:space="0" w:color="000000"/>
              <w:end w:val="single" w:sz="8" w:space="0" w:color="000000"/>
            </w:tcBorders>
          </w:tcPr>
          <w:p>
            <w:pPr>
              <w:pStyle w:val="Normal"/>
              <w:keepNext w:val="true"/>
              <w:keepLines/>
              <w:rPr/>
            </w:pPr>
            <w:r>
              <w:rPr/>
              <w:t>$3.2 billion</w:t>
            </w:r>
          </w:p>
        </w:tc>
      </w:tr>
      <w:tr>
        <w:trPr/>
        <w:tc>
          <w:tcPr>
            <w:tcW w:w="5611" w:type="dxa"/>
            <w:tcBorders>
              <w:top w:val="single" w:sz="8" w:space="0" w:color="000000"/>
              <w:start w:val="single" w:sz="8" w:space="0" w:color="000000"/>
              <w:bottom w:val="single" w:sz="8" w:space="0" w:color="000000"/>
              <w:end w:val="single" w:sz="8" w:space="0" w:color="000000"/>
            </w:tcBorders>
          </w:tcPr>
          <w:p>
            <w:pPr>
              <w:pStyle w:val="Normal"/>
              <w:keepNext w:val="true"/>
              <w:keepLines/>
              <w:rPr/>
            </w:pPr>
            <w:r>
              <w:rPr/>
              <w:t>Amount in Excess of Book Value Paid to Utilities for Transmission Systems at 2.3 Times Book Value</w:t>
            </w:r>
          </w:p>
        </w:tc>
        <w:tc>
          <w:tcPr>
            <w:tcW w:w="2150" w:type="dxa"/>
            <w:tcBorders>
              <w:top w:val="single" w:sz="8" w:space="0" w:color="000000"/>
              <w:start w:val="single" w:sz="8" w:space="0" w:color="000000"/>
              <w:bottom w:val="single" w:sz="8" w:space="0" w:color="000000"/>
              <w:end w:val="single" w:sz="8" w:space="0" w:color="000000"/>
            </w:tcBorders>
          </w:tcPr>
          <w:p>
            <w:pPr>
              <w:pStyle w:val="Normal"/>
              <w:keepNext w:val="true"/>
              <w:keepLines/>
              <w:rPr/>
            </w:pPr>
            <w:r>
              <w:rPr/>
              <w:t>($2.6) billion</w:t>
            </w:r>
          </w:p>
        </w:tc>
        <w:tc>
          <w:tcPr>
            <w:tcW w:w="1704" w:type="dxa"/>
            <w:tcBorders>
              <w:top w:val="single" w:sz="8" w:space="0" w:color="000000"/>
              <w:start w:val="single" w:sz="8" w:space="0" w:color="000000"/>
              <w:bottom w:val="single" w:sz="8" w:space="0" w:color="000000"/>
              <w:end w:val="single" w:sz="8" w:space="0" w:color="000000"/>
            </w:tcBorders>
          </w:tcPr>
          <w:p>
            <w:pPr>
              <w:pStyle w:val="Normal"/>
              <w:keepNext w:val="true"/>
              <w:keepLines/>
              <w:rPr/>
            </w:pPr>
            <w:r>
              <w:rPr/>
              <w:t>($1.6) billion</w:t>
            </w:r>
          </w:p>
        </w:tc>
      </w:tr>
      <w:tr>
        <w:trPr/>
        <w:tc>
          <w:tcPr>
            <w:tcW w:w="5611" w:type="dxa"/>
            <w:tcBorders>
              <w:top w:val="single" w:sz="8" w:space="0" w:color="000000"/>
              <w:start w:val="single" w:sz="8" w:space="0" w:color="000000"/>
              <w:bottom w:val="single" w:sz="8" w:space="0" w:color="000000"/>
              <w:end w:val="single" w:sz="8" w:space="0" w:color="000000"/>
            </w:tcBorders>
          </w:tcPr>
          <w:p>
            <w:pPr>
              <w:pStyle w:val="Normal"/>
              <w:keepNext w:val="true"/>
              <w:keepLines/>
              <w:rPr/>
            </w:pPr>
            <w:r>
              <w:rPr/>
              <w:t>Remaining Uncollected Balance</w:t>
            </w:r>
          </w:p>
        </w:tc>
        <w:tc>
          <w:tcPr>
            <w:tcW w:w="2150" w:type="dxa"/>
            <w:tcBorders>
              <w:top w:val="single" w:sz="8" w:space="0" w:color="000000"/>
              <w:start w:val="single" w:sz="8" w:space="0" w:color="000000"/>
              <w:bottom w:val="single" w:sz="8" w:space="0" w:color="000000"/>
              <w:end w:val="single" w:sz="8" w:space="0" w:color="000000"/>
            </w:tcBorders>
          </w:tcPr>
          <w:p>
            <w:pPr>
              <w:pStyle w:val="Normal"/>
              <w:keepNext w:val="true"/>
              <w:keepLines/>
              <w:rPr/>
            </w:pPr>
            <w:r>
              <w:rPr/>
              <w:t>$2.8 billion</w:t>
            </w:r>
          </w:p>
        </w:tc>
        <w:tc>
          <w:tcPr>
            <w:tcW w:w="1704" w:type="dxa"/>
            <w:tcBorders>
              <w:top w:val="single" w:sz="8" w:space="0" w:color="000000"/>
              <w:start w:val="single" w:sz="8" w:space="0" w:color="000000"/>
              <w:bottom w:val="single" w:sz="8" w:space="0" w:color="000000"/>
              <w:end w:val="single" w:sz="8" w:space="0" w:color="000000"/>
            </w:tcBorders>
          </w:tcPr>
          <w:p>
            <w:pPr>
              <w:pStyle w:val="Normal"/>
              <w:keepNext w:val="true"/>
              <w:keepLines/>
              <w:rPr/>
            </w:pPr>
            <w:r>
              <w:rPr/>
              <w:t>$1.6 billion</w:t>
            </w:r>
          </w:p>
        </w:tc>
      </w:tr>
      <w:tr>
        <w:trPr/>
        <w:tc>
          <w:tcPr>
            <w:tcW w:w="5611" w:type="dxa"/>
            <w:tcBorders>
              <w:top w:val="single" w:sz="8" w:space="0" w:color="000000"/>
              <w:start w:val="single" w:sz="8" w:space="0" w:color="000000"/>
              <w:bottom w:val="single" w:sz="8" w:space="0" w:color="000000"/>
              <w:end w:val="single" w:sz="8" w:space="0" w:color="000000"/>
            </w:tcBorders>
          </w:tcPr>
          <w:p>
            <w:pPr>
              <w:pStyle w:val="Normal"/>
              <w:keepNext w:val="true"/>
              <w:keepLines/>
              <w:rPr/>
            </w:pPr>
            <w:r>
              <w:rPr/>
              <w:t>Surcharge to Recover Remaining Uncollected Balance Over 10 years - Transmission System Sale</w:t>
            </w:r>
          </w:p>
        </w:tc>
        <w:tc>
          <w:tcPr>
            <w:tcW w:w="2150" w:type="dxa"/>
            <w:tcBorders>
              <w:top w:val="single" w:sz="8" w:space="0" w:color="000000"/>
              <w:start w:val="single" w:sz="8" w:space="0" w:color="000000"/>
              <w:bottom w:val="single" w:sz="8" w:space="0" w:color="000000"/>
              <w:end w:val="single" w:sz="8" w:space="0" w:color="000000"/>
            </w:tcBorders>
          </w:tcPr>
          <w:p>
            <w:pPr>
              <w:pStyle w:val="Normal"/>
              <w:keepNext w:val="true"/>
              <w:keepLines/>
              <w:rPr/>
            </w:pPr>
            <w:r>
              <w:rPr/>
              <w:t>4.7 mills/kWh</w:t>
            </w:r>
          </w:p>
        </w:tc>
        <w:tc>
          <w:tcPr>
            <w:tcW w:w="1704" w:type="dxa"/>
            <w:tcBorders>
              <w:top w:val="single" w:sz="8" w:space="0" w:color="000000"/>
              <w:start w:val="single" w:sz="8" w:space="0" w:color="000000"/>
              <w:bottom w:val="single" w:sz="8" w:space="0" w:color="000000"/>
              <w:end w:val="single" w:sz="8" w:space="0" w:color="000000"/>
            </w:tcBorders>
          </w:tcPr>
          <w:p>
            <w:pPr>
              <w:pStyle w:val="Normal"/>
              <w:keepNext w:val="true"/>
              <w:keepLines/>
              <w:rPr/>
            </w:pPr>
            <w:r>
              <w:rPr/>
              <w:t>2.6 mills/kWh</w:t>
            </w:r>
          </w:p>
        </w:tc>
      </w:tr>
      <w:tr>
        <w:trPr/>
        <w:tc>
          <w:tcPr>
            <w:tcW w:w="5611" w:type="dxa"/>
            <w:tcBorders>
              <w:top w:val="single" w:sz="8" w:space="0" w:color="000000"/>
              <w:start w:val="single" w:sz="8" w:space="0" w:color="000000"/>
              <w:bottom w:val="single" w:sz="8" w:space="0" w:color="000000"/>
              <w:end w:val="single" w:sz="8" w:space="0" w:color="000000"/>
            </w:tcBorders>
          </w:tcPr>
          <w:p>
            <w:pPr>
              <w:pStyle w:val="Normal"/>
              <w:keepNext w:val="true"/>
              <w:keepLines/>
              <w:rPr/>
            </w:pPr>
            <w:r>
              <w:rPr/>
              <w:t>Surcharge to Recover Uncollected Balance Over 10 years - No Transmission System Sale</w:t>
            </w:r>
          </w:p>
        </w:tc>
        <w:tc>
          <w:tcPr>
            <w:tcW w:w="2150" w:type="dxa"/>
            <w:tcBorders>
              <w:top w:val="single" w:sz="8" w:space="0" w:color="000000"/>
              <w:start w:val="single" w:sz="8" w:space="0" w:color="000000"/>
              <w:bottom w:val="single" w:sz="8" w:space="0" w:color="000000"/>
              <w:end w:val="single" w:sz="8" w:space="0" w:color="000000"/>
            </w:tcBorders>
          </w:tcPr>
          <w:p>
            <w:pPr>
              <w:pStyle w:val="Normal"/>
              <w:keepNext w:val="true"/>
              <w:keepLines/>
              <w:rPr/>
            </w:pPr>
            <w:r>
              <w:rPr/>
              <w:t>8.6 mills/kWh</w:t>
            </w:r>
          </w:p>
        </w:tc>
        <w:tc>
          <w:tcPr>
            <w:tcW w:w="1704" w:type="dxa"/>
            <w:tcBorders>
              <w:top w:val="single" w:sz="8" w:space="0" w:color="000000"/>
              <w:start w:val="single" w:sz="8" w:space="0" w:color="000000"/>
              <w:bottom w:val="single" w:sz="8" w:space="0" w:color="000000"/>
              <w:end w:val="single" w:sz="8" w:space="0" w:color="000000"/>
            </w:tcBorders>
          </w:tcPr>
          <w:p>
            <w:pPr>
              <w:pStyle w:val="Normal"/>
              <w:keepNext w:val="true"/>
              <w:keepLines/>
              <w:rPr/>
            </w:pPr>
            <w:r>
              <w:rPr/>
              <w:t>5.1 mills/kWh</w:t>
            </w:r>
          </w:p>
        </w:tc>
      </w:tr>
    </w:tbl>
    <w:p>
      <w:pPr>
        <w:pStyle w:val="Normal"/>
        <w:keepNext w:val="true"/>
        <w:keepLines/>
        <w:rPr/>
      </w:pPr>
      <w:r>
        <w:rPr/>
        <w:t> </w:t>
      </w:r>
    </w:p>
    <w:p>
      <w:pPr>
        <w:pStyle w:val="Normal"/>
        <w:rPr/>
      </w:pPr>
      <w:r>
        <w:rPr/>
      </w:r>
    </w:p>
    <w:p>
      <w:pPr>
        <w:pStyle w:val="Normal"/>
        <w:numPr>
          <w:ilvl w:val="0"/>
          <w:numId w:val="0"/>
        </w:numPr>
        <w:outlineLvl w:val="0"/>
        <w:rPr>
          <w:i/>
          <w:i/>
        </w:rPr>
      </w:pPr>
      <w:r>
        <w:rPr>
          <w:i/>
        </w:rPr>
        <w:t>Methodology and Assumptions</w:t>
      </w:r>
    </w:p>
    <w:p>
      <w:pPr>
        <w:pStyle w:val="Normal"/>
        <w:numPr>
          <w:ilvl w:val="0"/>
          <w:numId w:val="0"/>
        </w:numPr>
        <w:outlineLvl w:val="0"/>
        <w:rPr>
          <w:i/>
          <w:i/>
        </w:rPr>
      </w:pPr>
      <w:r>
        <w:rPr>
          <w:i/>
        </w:rPr>
      </w:r>
    </w:p>
    <w:p>
      <w:pPr>
        <w:pStyle w:val="BodyText"/>
        <w:rPr/>
      </w:pPr>
      <w:r>
        <w:rPr/>
        <w:t xml:space="preserve">MRW analyzed the most recently available balances reported by the utilities' in their respective balancing accounts reported to the Commission's Energy Division each month.  The net undercollection is based on recorded balances in the utilities' Transition Cost Balancing Account, Transition Revenue Account, and Generation Memorandum Accounts.  SCE's net undercollection reflects ending balances reported for January 2001.  </w:t>
      </w:r>
    </w:p>
    <w:p>
      <w:pPr>
        <w:pStyle w:val="Normal"/>
        <w:rPr/>
      </w:pPr>
      <w:r>
        <w:rPr/>
      </w:r>
    </w:p>
    <w:p>
      <w:pPr>
        <w:pStyle w:val="BodyText"/>
        <w:rPr/>
      </w:pPr>
      <w:r>
        <w:rPr/>
        <w:t>Since PG&amp;E's ending balances for January have not yet been made publicly available, we estimated PG&amp;E's January ending balance based on the ending balance for December 2000 while estimating changes for January based on PG&amp;E's changes in November 2000.  We also assume that balances would remain relatively unchanged based on the assumption that DWR had begun procuring for the utilities' short position in February 2001.  To the extent that DWR did not fully procure for the utilities' entire short positions, the net undercollections would be higher, necessitating a larger rate increase to recovery the undercollections over ten years.  MRW did not assume any additional disallowances to utility recovery of the net undercollections, nor did we assume any concessions to forego collection of unpaid amounts by other market participants.  The rate for recovery of undercollections was calculated based on a discount rate of 6 percent with recovery to occur over 10 years.  There is a high likelihood that utilities would be granted recovery of remaining undercollections as a quid pro quo for the sale of their transmission systems.</w:t>
      </w:r>
    </w:p>
    <w:p>
      <w:pPr>
        <w:pStyle w:val="Normal"/>
        <w:numPr>
          <w:ilvl w:val="0"/>
          <w:numId w:val="0"/>
        </w:numPr>
        <w:outlineLvl w:val="0"/>
        <w:rPr>
          <w:b/>
        </w:rPr>
      </w:pPr>
      <w:r>
        <w:rPr>
          <w:b/>
        </w:rPr>
      </w:r>
    </w:p>
    <w:p>
      <w:pPr>
        <w:pStyle w:val="Normal"/>
        <w:numPr>
          <w:ilvl w:val="0"/>
          <w:numId w:val="0"/>
        </w:numPr>
        <w:outlineLvl w:val="0"/>
        <w:rPr>
          <w:b/>
        </w:rPr>
      </w:pPr>
      <w:r>
        <w:rPr>
          <w:b/>
        </w:rPr>
        <w:t>PG&amp;E and SCE Rates for Recovery for Recovery of Going-Forward Non-Generation Costs</w:t>
      </w:r>
    </w:p>
    <w:p>
      <w:pPr>
        <w:pStyle w:val="Normal"/>
        <w:numPr>
          <w:ilvl w:val="0"/>
          <w:numId w:val="0"/>
        </w:numPr>
        <w:outlineLvl w:val="0"/>
        <w:rPr>
          <w:b/>
        </w:rPr>
      </w:pPr>
      <w:r>
        <w:rPr>
          <w:b/>
        </w:rPr>
      </w:r>
    </w:p>
    <w:p>
      <w:pPr>
        <w:pStyle w:val="Normal"/>
        <w:jc w:val="both"/>
        <w:rPr/>
      </w:pPr>
      <w:r>
        <w:rPr/>
        <w:t>PG&amp;E and SCE propose that nongeneration rate components will have no impact on the utilities' respective generation-related rate components and the associated revenues used to determine the California Procurement Adjustment Balance. Consequently, rate changes for non-generation rate components will be determined through the appropriate CPUC or FERC proceeding.</w:t>
      </w:r>
    </w:p>
    <w:p>
      <w:pPr>
        <w:pStyle w:val="Normal"/>
        <w:jc w:val="both"/>
        <w:rPr/>
      </w:pPr>
      <w:r>
        <w:rPr/>
      </w:r>
    </w:p>
    <w:p>
      <w:pPr>
        <w:pStyle w:val="Normal"/>
        <w:jc w:val="both"/>
        <w:rPr/>
      </w:pPr>
      <w:r>
        <w:rPr/>
        <w:t>PG&amp;E's and SCE's nongeneration rates would be established based on the cost of service for the non-generation rate components and potential amortization of balances for non-generation costs accumulated in various balancing accounts mechanisms. PG&amp;E's and SCE's non-generation rates are comprised of charges for Nuclear Decommissioning, Public Purpose Programs, Distribution, and FERC-jurisdictional Transmission-related costs. Rates for Nuclear Decommissioning and Public Purpose Programs will likely remain flat for the next three years and are only a small component of total delivery charges, comprising less than 5 percent of bundled rates.  Transmission and Distribution rates, when adjusted, are likely to increase with inflation less productivity (CPI - X). Thus, for our Base Case, MRW assumes that the Transmission and Distribution components of the bundled rates will remain constant until such time as the CPUC concludes its general rate proceedings for PG&amp;E and SCE, which should occur no earlier than the middle of 2002.</w:t>
      </w:r>
    </w:p>
    <w:p>
      <w:pPr>
        <w:pStyle w:val="Normal"/>
        <w:rPr/>
      </w:pPr>
      <w:r>
        <w:rPr/>
      </w:r>
    </w:p>
    <w:sectPr>
      <w:headerReference w:type="default" r:id="rId3"/>
      <w:headerReference w:type="first" r:id="rId4"/>
      <w:footerReference w:type="default" r:id="rId5"/>
      <w:footerReference w:type="first" r:id="rId6"/>
      <w:footnotePr>
        <w:numFmt w:val="decimal"/>
      </w:footnotePr>
      <w:type w:val="nextPage"/>
      <w:pgSz w:w="12240" w:h="15840"/>
      <w:pgMar w:left="1440" w:right="1440" w:gutter="0" w:header="1440" w:top="1496"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360" w:leader="none"/>
      </w:tabs>
      <w:rPr/>
    </w:pPr>
    <w:r>
      <w:rPr/>
      <w:t>May 5, 2001</w:t>
      <w:tab/>
      <w:tab/>
    </w:r>
    <w:r>
      <w:rPr>
        <w:i/>
      </w:rPr>
      <w:t>MRW &amp; Associates, Inc.</w:t>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76835" cy="177165"/>
              <wp:effectExtent l="0" t="0" r="0" b="0"/>
              <wp:wrapSquare wrapText="bothSides"/>
              <wp:docPr id="3"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What remains unclear is what rates will be charged on the portion of electricity consumed above the 130% baseline threshold for residential customers and what rates will be charged to other customers.</w:t>
      </w:r>
    </w:p>
    <w:p>
      <w:pPr>
        <w:pStyle w:val="FootnoteText"/>
        <w:rPr/>
      </w:pPr>
      <w:r>
        <w:rPr/>
      </w:r>
    </w:p>
  </w:footnote>
  <w:footnote w:id="3">
    <w:p>
      <w:pPr>
        <w:pStyle w:val="FootnoteText"/>
        <w:rPr/>
      </w:pPr>
      <w:r>
        <w:rPr>
          <w:rStyle w:val="FootnoteCharacters"/>
        </w:rPr>
        <w:t>2</w:t>
      </w:r>
      <w:r>
        <w:rPr/>
        <w:t xml:space="preserve"> </w:t>
      </w:r>
      <w:r>
        <w:rPr/>
        <w:t>We will provide an updated forecast for 2003 as progress is made in implementing the Governor's plan.</w:t>
      </w:r>
    </w:p>
    <w:p>
      <w:pPr>
        <w:pStyle w:val="FootnoteText"/>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720"/>
        </w:tabs>
        <w:ind w:start="720" w:hanging="720"/>
      </w:pPr>
      <w:rPr/>
    </w:lvl>
  </w:abstractNum>
  <w:abstractNum w:abstractNumId="3">
    <w:lvl w:ilvl="0">
      <w:numFmt w:val="bullet"/>
      <w:lvlText w:val=""/>
      <w:lvlJc w:val="start"/>
      <w:pPr>
        <w:tabs>
          <w:tab w:val="num" w:pos="360"/>
        </w:tabs>
        <w:ind w:start="720" w:hanging="360"/>
      </w:pPr>
      <w:rPr>
        <w:rFonts w:ascii="Symbol" w:hAnsi="Symbol" w:cs="Symbol" w:hint="default"/>
      </w:rPr>
    </w:lvl>
  </w:abstractNum>
  <w:abstractNum w:abstractNumId="4">
    <w:lvl w:ilvl="0">
      <w:numFmt w:val="bullet"/>
      <w:lvlText w:val=""/>
      <w:lvlJc w:val="start"/>
      <w:pPr>
        <w:tabs>
          <w:tab w:val="num" w:pos="36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paragraph" w:styleId="Heading1">
    <w:name w:val="heading 1"/>
    <w:basedOn w:val="Normal"/>
    <w:next w:val="Normal"/>
    <w:qFormat/>
    <w:pPr>
      <w:keepNext w:val="true"/>
      <w:numPr>
        <w:ilvl w:val="0"/>
        <w:numId w:val="1"/>
      </w:numPr>
      <w:tabs>
        <w:tab w:val="clear" w:pos="720"/>
        <w:tab w:val="center" w:pos="4680" w:leader="none"/>
      </w:tabs>
      <w:jc w:val="center"/>
      <w:outlineLvl w:val="0"/>
    </w:pPr>
    <w:rPr>
      <w:b/>
    </w:rPr>
  </w:style>
  <w:style w:type="paragraph" w:styleId="Heading2">
    <w:name w:val="heading 2"/>
    <w:basedOn w:val="Normal"/>
    <w:next w:val="Normal"/>
    <w:qFormat/>
    <w:pPr>
      <w:keepNext w:val="true"/>
      <w:widowControl/>
      <w:numPr>
        <w:ilvl w:val="0"/>
        <w:numId w:val="2"/>
      </w:numPr>
      <w:outlineLvl w:val="1"/>
    </w:pPr>
    <w:rPr>
      <w:b/>
      <w:lang w:eastAsia="en-CA"/>
    </w:rPr>
  </w:style>
  <w:style w:type="paragraph" w:styleId="Heading3">
    <w:name w:val="heading 3"/>
    <w:basedOn w:val="Normal"/>
    <w:next w:val="Normal"/>
    <w:qFormat/>
    <w:pPr>
      <w:keepNext w:val="true"/>
      <w:widowControl/>
      <w:numPr>
        <w:ilvl w:val="2"/>
        <w:numId w:val="1"/>
      </w:numPr>
      <w:outlineLvl w:val="2"/>
    </w:pPr>
    <w:rPr>
      <w:i/>
      <w:lang w:eastAsia="en-CA"/>
    </w:rPr>
  </w:style>
  <w:style w:type="character" w:styleId="WW8Num2z0">
    <w:name w:val="WW8Num2z0"/>
    <w:qFormat/>
    <w:rPr/>
  </w:style>
  <w:style w:type="character" w:styleId="WW8Num3z0">
    <w:name w:val="WW8Num3z0"/>
    <w:qFormat/>
    <w:rPr>
      <w:rFonts w:ascii="Symbol" w:hAnsi="Symbol" w:cs="Symbol"/>
    </w:rPr>
  </w:style>
  <w:style w:type="character" w:styleId="WW8Num4z0">
    <w:name w:val="WW8Num4z0"/>
    <w:qFormat/>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style>
  <w:style w:type="character" w:styleId="WW8Num10z0">
    <w:name w:val="WW8Num10z0"/>
    <w:qFormat/>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St11z0">
    <w:name w:val="WW8NumSt11z0"/>
    <w:qFormat/>
    <w:rPr>
      <w:rFonts w:ascii="Symbol" w:hAnsi="Symbol" w:cs="Symbol"/>
    </w:rPr>
  </w:style>
  <w:style w:type="character" w:styleId="DefaultParagraphFont">
    <w:name w:val="Default Paragraph Font"/>
    <w:qFormat/>
    <w:rPr/>
  </w:style>
  <w:style w:type="character" w:styleId="FootnoteCharacters">
    <w:name w:val="Footnote Characters"/>
    <w:qFormat/>
    <w:rPr>
      <w:strike w:val="false"/>
      <w:dstrike w:val="false"/>
      <w:color w:val="auto"/>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widowControl/>
    </w:pPr>
    <w:rPr>
      <w:sz w:val="20"/>
      <w:lang w:eastAsia="en-C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HTMLBody">
    <w:name w:val="HTML Body"/>
    <w:qFormat/>
    <w:pPr>
      <w:widowControl/>
      <w:bidi w:val="0"/>
    </w:pPr>
    <w:rPr>
      <w:rFonts w:ascii="Arial" w:hAnsi="Arial" w:eastAsia="Times New Roman" w:cs="Arial"/>
      <w:color w:val="auto"/>
      <w:sz w:val="20"/>
      <w:szCs w:val="20"/>
      <w:lang w:val="en-US" w:eastAsia="en-US" w:bidi="hi-I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notes" Target="footnotes.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2001-03-06T01:23:00Z</dcterms:created>
  <dc:creator>elaine chiodi</dc:creator>
  <dc:description/>
  <dc:language>en-CA</dc:language>
  <cp:lastModifiedBy>William A. Monsen</cp:lastModifiedBy>
  <cp:lastPrinted>2001-03-05T18:28:00Z</cp:lastPrinted>
  <dcterms:modified xsi:type="dcterms:W3CDTF">2001-03-06T01:33:00Z</dcterms:modified>
  <cp:revision>4</cp:revision>
  <dc:subject/>
  <dc:title> </dc:title>
</cp:coreProperties>
</file>