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u w:val="single"/>
        </w:rPr>
      </w:pPr>
      <w:r>
        <w:rPr>
          <w:b/>
          <w:sz w:val="28"/>
          <w:u w:val="single"/>
        </w:rPr>
        <w:t>Duke Energy Corporate Credit</w:t>
      </w:r>
    </w:p>
    <w:p>
      <w:pPr>
        <w:pStyle w:val="Normal"/>
        <w:jc w:val="center"/>
        <w:rPr>
          <w:b/>
          <w:sz w:val="28"/>
          <w:u w:val="single"/>
        </w:rPr>
      </w:pPr>
      <w:r>
        <w:rPr>
          <w:b/>
          <w:sz w:val="28"/>
          <w:u w:val="single"/>
        </w:rPr>
        <w:t>Questions for Enron Corporation – Level One</w:t>
      </w:r>
    </w:p>
    <w:p>
      <w:pPr>
        <w:pStyle w:val="Normal"/>
        <w:jc w:val="center"/>
        <w:rPr>
          <w:b/>
          <w:u w:val="single"/>
        </w:rPr>
      </w:pPr>
      <w:r>
        <w:rPr>
          <w:b/>
          <w:sz w:val="28"/>
          <w:u w:val="single"/>
        </w:rPr>
        <w:t>October 31, 2001</w:t>
      </w:r>
    </w:p>
    <w:p>
      <w:pPr>
        <w:pStyle w:val="Normal"/>
        <w:jc w:val="both"/>
        <w:rPr>
          <w:b/>
          <w:u w:val="single"/>
        </w:rPr>
      </w:pPr>
      <w:r>
        <w:rPr>
          <w:b/>
          <w:u w:val="single"/>
        </w:rPr>
      </w:r>
    </w:p>
    <w:p>
      <w:pPr>
        <w:pStyle w:val="Normal"/>
        <w:jc w:val="both"/>
        <w:rPr>
          <w:u w:val="single"/>
        </w:rPr>
      </w:pPr>
      <w:r>
        <w:rPr>
          <w:u w:val="single"/>
        </w:rPr>
      </w:r>
    </w:p>
    <w:p>
      <w:pPr>
        <w:pStyle w:val="Normal"/>
        <w:jc w:val="both"/>
        <w:rPr>
          <w:b/>
          <w:u w:val="single"/>
        </w:rPr>
      </w:pPr>
      <w:r>
        <w:rPr>
          <w:b/>
          <w:u w:val="single"/>
        </w:rPr>
        <w:t>Balance Sheet:</w:t>
      </w:r>
    </w:p>
    <w:p>
      <w:pPr>
        <w:pStyle w:val="Normal"/>
        <w:jc w:val="both"/>
        <w:rPr>
          <w:b/>
          <w:u w:val="single"/>
        </w:rPr>
      </w:pPr>
      <w:r>
        <w:rPr>
          <w:b/>
          <w:u w:val="single"/>
        </w:rPr>
      </w:r>
    </w:p>
    <w:p>
      <w:pPr>
        <w:pStyle w:val="Normal"/>
        <w:numPr>
          <w:ilvl w:val="0"/>
          <w:numId w:val="2"/>
        </w:numPr>
        <w:spacing w:before="0" w:after="240"/>
        <w:jc w:val="both"/>
        <w:rPr/>
      </w:pPr>
      <w:r>
        <w:rPr/>
        <w:t>Please list and quantify the write-downs announced since June 30, 2001 and reconcile the June 30 and September 30 balance sheets.</w:t>
      </w:r>
    </w:p>
    <w:p>
      <w:pPr>
        <w:pStyle w:val="Normal"/>
        <w:numPr>
          <w:ilvl w:val="0"/>
          <w:numId w:val="2"/>
        </w:numPr>
        <w:spacing w:before="0" w:after="240"/>
        <w:jc w:val="both"/>
        <w:rPr/>
      </w:pPr>
      <w:r>
        <w:rPr/>
        <w:t xml:space="preserve">Has Enron identified the need to write down the value of any more assets (i.e. goodwill, international investments like Dabhol and others)?  </w:t>
      </w:r>
    </w:p>
    <w:p>
      <w:pPr>
        <w:pStyle w:val="Normal"/>
        <w:numPr>
          <w:ilvl w:val="0"/>
          <w:numId w:val="7"/>
        </w:numPr>
        <w:spacing w:before="0" w:after="240"/>
        <w:jc w:val="both"/>
        <w:rPr/>
      </w:pPr>
      <w:r>
        <w:rPr/>
        <w:t>If so, what are the write-downs related to and what are the amounts?</w:t>
      </w:r>
    </w:p>
    <w:p>
      <w:pPr>
        <w:pStyle w:val="Normal"/>
        <w:numPr>
          <w:ilvl w:val="0"/>
          <w:numId w:val="7"/>
        </w:numPr>
        <w:spacing w:before="0" w:after="240"/>
        <w:jc w:val="both"/>
        <w:rPr>
          <w:i/>
          <w:i/>
        </w:rPr>
      </w:pPr>
      <w:r>
        <w:rPr/>
        <w:t xml:space="preserve">If not, how did you determine no additional write-downs were necessary?  What assumptions did you use?  Was this decision based on a recent review of asset values (i.e. post-3Q earnings release)?  </w:t>
      </w:r>
    </w:p>
    <w:p>
      <w:pPr>
        <w:pStyle w:val="Normal"/>
        <w:spacing w:before="0" w:after="240"/>
        <w:ind w:start="360" w:end="0"/>
        <w:jc w:val="both"/>
        <w:rPr>
          <w:i/>
          <w:i/>
        </w:rPr>
      </w:pPr>
      <w:r>
        <w:rPr>
          <w:i/>
        </w:rPr>
        <w:t>[Note that these write-downs could stem from a broader SEC investigation, a more conservative view of asset values, or a more conservative accounting approach to revenue.]</w:t>
      </w:r>
    </w:p>
    <w:p>
      <w:pPr>
        <w:pStyle w:val="Normal"/>
        <w:numPr>
          <w:ilvl w:val="0"/>
          <w:numId w:val="2"/>
        </w:numPr>
        <w:spacing w:before="0" w:after="240"/>
        <w:jc w:val="both"/>
        <w:rPr>
          <w:i/>
          <w:i/>
        </w:rPr>
      </w:pPr>
      <w:r>
        <w:rPr/>
        <w:t>What is the actual debt-to-capital ratio for 3Q01 and the projected ratio for 4Q01, and what assumptions were used?</w:t>
      </w:r>
    </w:p>
    <w:p>
      <w:pPr>
        <w:pStyle w:val="BodyTextIndent"/>
        <w:rPr/>
      </w:pPr>
      <w:r>
        <w:rPr/>
        <w:t>[A 65% ratio would trigger a default under the company’s bank agreements.  Note that this ratio is their only financial covenant in these facilities.  Enron represented a debt-to-capital ratio of 50%, according to the 10-25-01 Bank of America Securities Investment Grade Research report by Dennis P. Coleman.  The debt-to-capital ratio was 52% as of 6-30-01.]</w:t>
      </w:r>
    </w:p>
    <w:p>
      <w:pPr>
        <w:pStyle w:val="Normal"/>
        <w:numPr>
          <w:ilvl w:val="0"/>
          <w:numId w:val="2"/>
        </w:numPr>
        <w:spacing w:before="0" w:after="240"/>
        <w:jc w:val="both"/>
        <w:rPr>
          <w:i/>
          <w:i/>
        </w:rPr>
      </w:pPr>
      <w:r>
        <w:rPr/>
        <w:t>What was the actual transaction(s) with LJM2 that caused a reduction in notes receivable and a $1.2 billion reduction in shareholder’s equity without any impact to the income statement?  What was the amount of the notes receivable reduction?</w:t>
      </w:r>
    </w:p>
    <w:p>
      <w:pPr>
        <w:pStyle w:val="Normal"/>
        <w:spacing w:before="0" w:after="240"/>
        <w:jc w:val="both"/>
        <w:rPr>
          <w:b/>
          <w:u w:val="single"/>
        </w:rPr>
      </w:pPr>
      <w:r>
        <w:rPr>
          <w:b/>
          <w:u w:val="single"/>
        </w:rPr>
        <w:t>Off-Balance Sheet:</w:t>
      </w:r>
    </w:p>
    <w:p>
      <w:pPr>
        <w:pStyle w:val="Normal"/>
        <w:numPr>
          <w:ilvl w:val="0"/>
          <w:numId w:val="3"/>
        </w:numPr>
        <w:spacing w:before="0" w:after="240"/>
        <w:jc w:val="both"/>
        <w:rPr/>
      </w:pPr>
      <w:r>
        <w:rPr/>
        <w:t>Are the Company and its auditors still confident in the appropriateness of the off-balance sheet accounting treatment of the trusts and partnerships?  Is the SEC reviewing this accounting?</w:t>
      </w:r>
    </w:p>
    <w:p>
      <w:pPr>
        <w:pStyle w:val="Normal"/>
        <w:numPr>
          <w:ilvl w:val="0"/>
          <w:numId w:val="3"/>
        </w:numPr>
        <w:spacing w:before="0" w:after="240"/>
        <w:jc w:val="both"/>
        <w:rPr/>
      </w:pPr>
      <w:r>
        <w:rPr/>
        <w:t xml:space="preserve">Are there off-balance sheet asset-based financing vehicles, other than Marlin II Trust and Osprey Trust? </w:t>
      </w:r>
    </w:p>
    <w:p>
      <w:pPr>
        <w:pStyle w:val="Normal"/>
        <w:numPr>
          <w:ilvl w:val="0"/>
          <w:numId w:val="3"/>
        </w:numPr>
        <w:spacing w:before="0" w:after="240"/>
        <w:jc w:val="both"/>
        <w:rPr/>
      </w:pPr>
      <w:r>
        <w:rPr/>
        <w:t>What are the shortfalls, if any, for the Marlin II and Osprey trusts (i.e. the difference between the value of the assets and the amount of debt?)</w:t>
      </w:r>
    </w:p>
    <w:p>
      <w:pPr>
        <w:pStyle w:val="Normal"/>
        <w:numPr>
          <w:ilvl w:val="0"/>
          <w:numId w:val="3"/>
        </w:numPr>
        <w:spacing w:before="0" w:after="240"/>
        <w:jc w:val="both"/>
        <w:rPr/>
      </w:pPr>
      <w:r>
        <w:rPr/>
        <w:t xml:space="preserve">What is the amount of Enron’s off-balance sheet debt issued by the various financing vehicles?  What is the best estimate of the value of any assets associated with such debt?  </w:t>
      </w:r>
    </w:p>
    <w:p>
      <w:pPr>
        <w:pStyle w:val="Normal"/>
        <w:numPr>
          <w:ilvl w:val="0"/>
          <w:numId w:val="3"/>
        </w:numPr>
        <w:spacing w:before="0" w:after="240"/>
        <w:jc w:val="both"/>
        <w:rPr/>
      </w:pPr>
      <w:r>
        <w:rPr/>
        <w:t xml:space="preserve">What triggered the termination of LJM2 Co-Investment L.P. (investment partnership)? </w:t>
      </w:r>
    </w:p>
    <w:p>
      <w:pPr>
        <w:pStyle w:val="Normal"/>
        <w:numPr>
          <w:ilvl w:val="0"/>
          <w:numId w:val="3"/>
        </w:numPr>
        <w:spacing w:before="0" w:after="240"/>
        <w:jc w:val="both"/>
        <w:rPr/>
      </w:pPr>
      <w:r>
        <w:rPr/>
        <w:t xml:space="preserve">Are there any other investment partnerships such as LJM2 Co-Investment L.P.? </w:t>
      </w:r>
    </w:p>
    <w:p>
      <w:pPr>
        <w:pStyle w:val="Normal"/>
        <w:numPr>
          <w:ilvl w:val="0"/>
          <w:numId w:val="7"/>
        </w:numPr>
        <w:spacing w:before="0" w:after="240"/>
        <w:jc w:val="both"/>
        <w:rPr/>
      </w:pPr>
      <w:r>
        <w:rPr/>
        <w:t xml:space="preserve">If so, are any of these partnerships at risk for termination, creating additional equity write-downs on Enron’s balance sheet? </w:t>
      </w:r>
    </w:p>
    <w:p>
      <w:pPr>
        <w:pStyle w:val="Heading1"/>
        <w:ind w:hanging="0" w:start="0"/>
        <w:jc w:val="center"/>
        <w:rPr/>
      </w:pPr>
      <w:r>
        <w:rPr/>
      </w:r>
    </w:p>
    <w:p>
      <w:pPr>
        <w:pStyle w:val="Normal"/>
        <w:jc w:val="both"/>
        <w:rPr>
          <w:b/>
          <w:u w:val="single"/>
        </w:rPr>
      </w:pPr>
      <w:r>
        <w:rPr>
          <w:b/>
          <w:u w:val="single"/>
        </w:rPr>
      </w:r>
    </w:p>
    <w:p>
      <w:pPr>
        <w:pStyle w:val="Normal"/>
        <w:jc w:val="both"/>
        <w:rPr>
          <w:b/>
          <w:u w:val="single"/>
        </w:rPr>
      </w:pPr>
      <w:r>
        <w:rPr>
          <w:b/>
          <w:u w:val="single"/>
        </w:rPr>
      </w:r>
    </w:p>
    <w:p>
      <w:pPr>
        <w:pStyle w:val="Normal"/>
        <w:jc w:val="center"/>
        <w:rPr>
          <w:b/>
          <w:sz w:val="28"/>
          <w:u w:val="single"/>
        </w:rPr>
      </w:pPr>
      <w:r>
        <w:rPr>
          <w:b/>
          <w:sz w:val="28"/>
          <w:u w:val="single"/>
        </w:rPr>
        <w:t>Duke Energy Corporate Credit</w:t>
      </w:r>
    </w:p>
    <w:p>
      <w:pPr>
        <w:pStyle w:val="Normal"/>
        <w:jc w:val="center"/>
        <w:rPr>
          <w:b/>
          <w:sz w:val="28"/>
          <w:u w:val="single"/>
        </w:rPr>
      </w:pPr>
      <w:r>
        <w:rPr>
          <w:b/>
          <w:sz w:val="28"/>
          <w:u w:val="single"/>
        </w:rPr>
        <w:t>Questions for Enron Corporation – Level One, page 2</w:t>
      </w:r>
    </w:p>
    <w:p>
      <w:pPr>
        <w:pStyle w:val="Normal"/>
        <w:jc w:val="center"/>
        <w:rPr>
          <w:b/>
          <w:u w:val="single"/>
        </w:rPr>
      </w:pPr>
      <w:r>
        <w:rPr>
          <w:b/>
          <w:sz w:val="28"/>
          <w:u w:val="single"/>
        </w:rPr>
        <w:t>October 31, 2001</w:t>
      </w:r>
    </w:p>
    <w:p>
      <w:pPr>
        <w:pStyle w:val="Normal"/>
        <w:spacing w:before="0" w:after="240"/>
        <w:jc w:val="both"/>
        <w:rPr>
          <w:b/>
          <w:u w:val="single"/>
        </w:rPr>
      </w:pPr>
      <w:r>
        <w:rPr>
          <w:b/>
          <w:u w:val="single"/>
        </w:rPr>
      </w:r>
    </w:p>
    <w:p>
      <w:pPr>
        <w:pStyle w:val="Normal"/>
        <w:spacing w:before="0" w:after="240"/>
        <w:jc w:val="both"/>
        <w:rPr>
          <w:b/>
          <w:u w:val="single"/>
        </w:rPr>
      </w:pPr>
      <w:r>
        <w:rPr>
          <w:b/>
          <w:u w:val="single"/>
        </w:rPr>
        <w:t>Liquidity:</w:t>
      </w:r>
    </w:p>
    <w:p>
      <w:pPr>
        <w:pStyle w:val="Normal"/>
        <w:numPr>
          <w:ilvl w:val="0"/>
          <w:numId w:val="4"/>
        </w:numPr>
        <w:spacing w:before="0" w:after="240"/>
        <w:jc w:val="both"/>
        <w:rPr/>
      </w:pPr>
      <w:r>
        <w:rPr/>
        <w:t xml:space="preserve">Are you having any current liquidity problems?  What is your plan for acquiring additional liquidity for the remainder of FY 2001 and FY 2002?  </w:t>
      </w:r>
    </w:p>
    <w:p>
      <w:pPr>
        <w:pStyle w:val="Normal"/>
        <w:numPr>
          <w:ilvl w:val="0"/>
          <w:numId w:val="4"/>
        </w:numPr>
        <w:spacing w:before="0" w:after="240"/>
        <w:jc w:val="both"/>
        <w:rPr/>
      </w:pPr>
      <w:r>
        <w:rPr/>
        <w:t xml:space="preserve">Does the company have any other significant triggers on their outstanding bonds, loan agreements or trust structures, other than the 65% debt-to-capital ratio? </w:t>
      </w:r>
      <w:r>
        <w:br w:type="page"/>
      </w:r>
    </w:p>
    <w:p>
      <w:pPr>
        <w:pStyle w:val="Normal"/>
        <w:spacing w:before="0" w:after="240"/>
        <w:jc w:val="both"/>
        <w:rPr>
          <w:b/>
          <w:sz w:val="28"/>
          <w:u w:val="single"/>
        </w:rPr>
      </w:pPr>
      <w:r>
        <w:rPr>
          <w:b/>
          <w:sz w:val="28"/>
          <w:u w:val="single"/>
        </w:rPr>
      </w:r>
    </w:p>
    <w:p>
      <w:pPr>
        <w:pStyle w:val="Normal"/>
        <w:jc w:val="center"/>
        <w:rPr>
          <w:b/>
          <w:sz w:val="28"/>
          <w:u w:val="single"/>
        </w:rPr>
      </w:pPr>
      <w:r>
        <w:rPr>
          <w:b/>
          <w:sz w:val="28"/>
          <w:u w:val="single"/>
        </w:rPr>
        <w:t>Questions for Enron Corporation – Level Two</w:t>
      </w:r>
    </w:p>
    <w:p>
      <w:pPr>
        <w:pStyle w:val="Normal"/>
        <w:rPr>
          <w:b/>
          <w:sz w:val="28"/>
          <w:u w:val="single"/>
        </w:rPr>
      </w:pPr>
      <w:r>
        <w:rPr>
          <w:b/>
          <w:sz w:val="28"/>
          <w:u w:val="single"/>
        </w:rPr>
      </w:r>
    </w:p>
    <w:p>
      <w:pPr>
        <w:pStyle w:val="Normal"/>
        <w:spacing w:before="0" w:after="240"/>
        <w:jc w:val="both"/>
        <w:rPr>
          <w:b/>
          <w:u w:val="single"/>
        </w:rPr>
      </w:pPr>
      <w:r>
        <w:rPr>
          <w:b/>
          <w:u w:val="single"/>
        </w:rPr>
      </w:r>
    </w:p>
    <w:p>
      <w:pPr>
        <w:pStyle w:val="Normal"/>
        <w:spacing w:before="0" w:after="240"/>
        <w:jc w:val="both"/>
        <w:rPr>
          <w:b/>
          <w:u w:val="single"/>
        </w:rPr>
      </w:pPr>
      <w:r>
        <w:rPr>
          <w:b/>
          <w:u w:val="single"/>
        </w:rPr>
        <w:t>Balance Sheet:</w:t>
      </w:r>
    </w:p>
    <w:p>
      <w:pPr>
        <w:pStyle w:val="Normal"/>
        <w:numPr>
          <w:ilvl w:val="0"/>
          <w:numId w:val="8"/>
        </w:numPr>
        <w:spacing w:before="0" w:after="240"/>
        <w:jc w:val="both"/>
        <w:rPr/>
      </w:pPr>
      <w:r>
        <w:rPr/>
        <w:t xml:space="preserve">Has the company reviewed its reserve levels for doubtful accounts related to international and other non-performing assets?  What specific initiatives are under way to assess the true value of Enron’s future cash flows across its business units?  </w:t>
      </w:r>
    </w:p>
    <w:p>
      <w:pPr>
        <w:pStyle w:val="Normal"/>
        <w:numPr>
          <w:ilvl w:val="0"/>
          <w:numId w:val="8"/>
        </w:numPr>
        <w:spacing w:before="0" w:after="240"/>
        <w:jc w:val="both"/>
        <w:rPr/>
      </w:pPr>
      <w:r>
        <w:rPr/>
        <w:t xml:space="preserve">What items are not included in the debt calculation but represent future obligations for payment by Enron Corporation and/or subsidiaries in the short term and long term?  </w:t>
      </w:r>
    </w:p>
    <w:p>
      <w:pPr>
        <w:pStyle w:val="Normal"/>
        <w:spacing w:before="0" w:after="240"/>
        <w:jc w:val="both"/>
        <w:rPr>
          <w:b/>
          <w:u w:val="single"/>
        </w:rPr>
      </w:pPr>
      <w:r>
        <w:rPr>
          <w:b/>
          <w:u w:val="single"/>
        </w:rPr>
        <w:t>Liquidity:</w:t>
      </w:r>
    </w:p>
    <w:p>
      <w:pPr>
        <w:pStyle w:val="Normal"/>
        <w:numPr>
          <w:ilvl w:val="0"/>
          <w:numId w:val="6"/>
        </w:numPr>
        <w:spacing w:before="0" w:after="240"/>
        <w:jc w:val="both"/>
        <w:rPr/>
      </w:pPr>
      <w:r>
        <w:rPr/>
        <w:t>How dependent is Enron on asset sales for liquidity?</w:t>
      </w:r>
    </w:p>
    <w:p>
      <w:pPr>
        <w:pStyle w:val="Normal"/>
        <w:numPr>
          <w:ilvl w:val="0"/>
          <w:numId w:val="6"/>
        </w:numPr>
        <w:spacing w:before="0" w:after="240"/>
        <w:jc w:val="both"/>
        <w:rPr/>
      </w:pPr>
      <w:r>
        <w:rPr/>
        <w:t xml:space="preserve">What does the maturity schedule for assets and liabilities look like for the next 4 quarters without any new credit facilities?  What is the maturity profile of the company’s liabilities, both on- and off-balance sheet?  When was this analyses conducted? </w:t>
      </w:r>
    </w:p>
    <w:p>
      <w:pPr>
        <w:pStyle w:val="Normal"/>
        <w:numPr>
          <w:ilvl w:val="0"/>
          <w:numId w:val="6"/>
        </w:numPr>
        <w:spacing w:before="0" w:after="240"/>
        <w:jc w:val="both"/>
        <w:rPr/>
      </w:pPr>
      <w:r>
        <w:rPr/>
        <w:t xml:space="preserve">What percentage of your operations and investments for FY 2001 and FY 2002 will your current liquidity level facilitate? </w:t>
      </w:r>
    </w:p>
    <w:p>
      <w:pPr>
        <w:pStyle w:val="Normal"/>
        <w:spacing w:before="0" w:after="240"/>
        <w:jc w:val="both"/>
        <w:rPr>
          <w:b/>
          <w:u w:val="single"/>
        </w:rPr>
      </w:pPr>
      <w:r>
        <w:rPr>
          <w:b/>
          <w:u w:val="single"/>
        </w:rPr>
        <w:t>Earnings:</w:t>
      </w:r>
    </w:p>
    <w:p>
      <w:pPr>
        <w:pStyle w:val="Normal"/>
        <w:numPr>
          <w:ilvl w:val="0"/>
          <w:numId w:val="5"/>
        </w:numPr>
        <w:spacing w:before="0" w:after="240"/>
        <w:jc w:val="both"/>
        <w:rPr/>
      </w:pPr>
      <w:r>
        <w:rPr/>
        <w:t xml:space="preserve">Are your trading operations profitable on a stand alone basis? What is October 2001 trading volume compared to October 2000 trading volume, both in terms of the number of transactions as well as volumetric comparisons (i.e. Mwh, Mcfe, etc.)?  </w:t>
      </w:r>
    </w:p>
    <w:p>
      <w:pPr>
        <w:pStyle w:val="Normal"/>
        <w:rPr>
          <w:b/>
          <w:u w:val="single"/>
        </w:rPr>
      </w:pPr>
      <w:r>
        <w:rPr>
          <w:b/>
          <w:u w:val="single"/>
        </w:rPr>
      </w:r>
    </w:p>
    <w:sectPr>
      <w:footerReference w:type="default" r:id="rId2"/>
      <w:type w:val="nextPage"/>
      <w:pgSz w:w="12240" w:h="15840"/>
      <w:pgMar w:left="1800" w:right="1800" w:gutter="0" w:header="0" w:top="45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Page </w:t>
    </w:r>
    <w:r>
      <w:rPr/>
      <w:fldChar w:fldCharType="begin"/>
    </w:r>
    <w:r>
      <w:rPr/>
      <w:instrText xml:space="preserve"> PAGE </w:instrText>
    </w:r>
    <w:r>
      <w:rPr/>
      <w:fldChar w:fldCharType="separate"/>
    </w:r>
    <w:r>
      <w:rPr/>
      <w:t>3</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i w:val="false"/>
        <w:b w:val="false"/>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360"/>
        </w:tabs>
        <w:ind w:start="360" w:hanging="360"/>
      </w:pPr>
      <w:rPr/>
    </w:lvl>
  </w:abstractNum>
  <w:abstractNum w:abstractNumId="6">
    <w:lvl w:ilvl="0">
      <w:start w:val="1"/>
      <w:numFmt w:val="decimal"/>
      <w:lvlText w:val="%1."/>
      <w:lvlJc w:val="start"/>
      <w:pPr>
        <w:tabs>
          <w:tab w:val="num" w:pos="360"/>
        </w:tabs>
        <w:ind w:start="360" w:hanging="360"/>
      </w:pPr>
      <w:rPr/>
    </w:lvl>
  </w:abstractNum>
  <w:abstractNum w:abstractNumId="7">
    <w:lvl w:ilvl="0">
      <w:numFmt w:val="bullet"/>
      <w:lvlText w:val=""/>
      <w:lvlJc w:val="start"/>
      <w:pPr>
        <w:tabs>
          <w:tab w:val="num" w:pos="720"/>
        </w:tabs>
        <w:ind w:start="72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character" w:styleId="WW8Num2z0">
    <w:name w:val="WW8Num2z0"/>
    <w:qFormat/>
    <w:rPr>
      <w:b w:val="false"/>
      <w:i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WW8Num9z0">
    <w:name w:val="WW8Num9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0" w:start="360" w:end="0"/>
      <w:jc w:val="both"/>
    </w:pPr>
    <w:rPr>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2001-10-31T13:12:00Z</dcterms:created>
  <dc:creator>endenni</dc:creator>
  <dc:description/>
  <dc:language>en-CA</dc:language>
  <cp:lastModifiedBy>jxblanter</cp:lastModifiedBy>
  <cp:lastPrinted>2001-10-31T10:10:00Z</cp:lastPrinted>
  <dcterms:modified xsi:type="dcterms:W3CDTF">2001-10-31T13:12:00Z</dcterms:modified>
  <cp:revision>2</cp:revision>
  <dc:subject/>
  <dc:title>CONFIDENTIAL – ATTORNEY CLIENT AND WORK PRIVILEGES APPLY</dc:title>
</cp:coreProperties>
</file>