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start"/>
        <w:rPr>
          <w:sz w:val="22"/>
        </w:rPr>
      </w:pPr>
      <w:r>
        <w:rPr>
          <w:sz w:val="22"/>
        </w:rPr>
      </w:r>
    </w:p>
    <w:p>
      <w:pPr>
        <w:pStyle w:val="Header"/>
        <w:tabs>
          <w:tab w:val="clear" w:pos="4320"/>
          <w:tab w:val="clear" w:pos="8640"/>
        </w:tabs>
        <w:jc w:val="start"/>
        <w:rPr>
          <w:sz w:val="22"/>
        </w:rPr>
      </w:pPr>
      <w:r>
        <w:rPr>
          <w:sz w:val="22"/>
        </w:rPr>
      </w:r>
    </w:p>
    <w:p>
      <w:pPr>
        <w:pStyle w:val="Header"/>
        <w:tabs>
          <w:tab w:val="clear" w:pos="4320"/>
          <w:tab w:val="clear" w:pos="8640"/>
        </w:tabs>
        <w:jc w:val="start"/>
        <w:rPr>
          <w:sz w:val="22"/>
        </w:rPr>
      </w:pPr>
      <w:r>
        <w:rPr>
          <w:sz w:val="22"/>
        </w:rPr>
      </w:r>
    </w:p>
    <w:p>
      <w:pPr>
        <w:pStyle w:val="Header"/>
        <w:tabs>
          <w:tab w:val="clear" w:pos="4320"/>
          <w:tab w:val="clear" w:pos="8640"/>
        </w:tabs>
        <w:jc w:val="start"/>
        <w:rPr>
          <w:sz w:val="22"/>
        </w:rPr>
      </w:pPr>
      <w:r>
        <w:rPr>
          <w:sz w:val="22"/>
        </w:rPr>
      </w:r>
    </w:p>
    <w:p>
      <w:pPr>
        <w:pStyle w:val="Header"/>
        <w:tabs>
          <w:tab w:val="clear" w:pos="4320"/>
          <w:tab w:val="clear" w:pos="8640"/>
        </w:tabs>
        <w:jc w:val="start"/>
        <w:rPr>
          <w:sz w:val="22"/>
        </w:rPr>
      </w:pPr>
      <w:r>
        <w:rPr>
          <w:sz w:val="22"/>
        </w:rPr>
      </w:r>
    </w:p>
    <w:p>
      <w:pPr>
        <w:pStyle w:val="Header"/>
        <w:tabs>
          <w:tab w:val="clear" w:pos="4320"/>
          <w:tab w:val="clear" w:pos="8640"/>
        </w:tabs>
        <w:jc w:val="start"/>
        <w:rPr>
          <w:sz w:val="22"/>
        </w:rPr>
      </w:pPr>
      <w:r>
        <w:rPr>
          <w:sz w:val="22"/>
        </w:rPr>
      </w:r>
    </w:p>
    <w:p>
      <w:pPr>
        <w:pStyle w:val="Header"/>
        <w:tabs>
          <w:tab w:val="clear" w:pos="4320"/>
          <w:tab w:val="clear" w:pos="8640"/>
        </w:tabs>
        <w:jc w:val="start"/>
        <w:rPr>
          <w:sz w:val="22"/>
        </w:rPr>
      </w:pPr>
      <w:r>
        <w:rPr>
          <w:sz w:val="22"/>
        </w:rPr>
      </w:r>
    </w:p>
    <w:p>
      <w:pPr>
        <w:pStyle w:val="Header"/>
        <w:tabs>
          <w:tab w:val="clear" w:pos="4320"/>
          <w:tab w:val="clear" w:pos="8640"/>
        </w:tabs>
        <w:jc w:val="start"/>
        <w:rPr>
          <w:sz w:val="22"/>
        </w:rPr>
      </w:pPr>
      <w:r>
        <w:rPr>
          <w:sz w:val="22"/>
        </w:rPr>
      </w:r>
    </w:p>
    <w:p>
      <w:pPr>
        <w:pStyle w:val="Header"/>
        <w:tabs>
          <w:tab w:val="clear" w:pos="4320"/>
          <w:tab w:val="clear" w:pos="8640"/>
        </w:tabs>
        <w:jc w:val="start"/>
        <w:rPr>
          <w:sz w:val="22"/>
        </w:rPr>
      </w:pPr>
      <w:r>
        <w:rPr>
          <w:sz w:val="22"/>
        </w:rPr>
      </w:r>
    </w:p>
    <w:p>
      <w:pPr>
        <w:pStyle w:val="Header"/>
        <w:tabs>
          <w:tab w:val="clear" w:pos="4320"/>
          <w:tab w:val="clear" w:pos="8640"/>
        </w:tabs>
        <w:jc w:val="start"/>
        <w:rPr>
          <w:sz w:val="22"/>
        </w:rPr>
      </w:pPr>
      <w:r>
        <w:rPr>
          <w:sz w:val="22"/>
        </w:rPr>
        <w:t>October 22, 2001</w:t>
        <w:tab/>
        <w:tab/>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rPr>
        <w:t>Mr. Reagan C. Rorschach</w:t>
      </w:r>
    </w:p>
    <w:p>
      <w:pPr>
        <w:pStyle w:val="Normal"/>
        <w:jc w:val="start"/>
        <w:rPr>
          <w:sz w:val="22"/>
        </w:rPr>
      </w:pPr>
      <w:r>
        <w:rPr>
          <w:sz w:val="22"/>
        </w:rPr>
        <w:t>East Power Trading, EPMI</w:t>
      </w:r>
    </w:p>
    <w:p>
      <w:pPr>
        <w:pStyle w:val="Normal"/>
        <w:jc w:val="start"/>
        <w:rPr>
          <w:sz w:val="22"/>
        </w:rPr>
      </w:pPr>
      <w:r>
        <w:rPr>
          <w:sz w:val="22"/>
        </w:rPr>
        <w:t>Enron Power Marketing, Inc.</w:t>
      </w:r>
    </w:p>
    <w:p>
      <w:pPr>
        <w:pStyle w:val="Normal"/>
        <w:jc w:val="start"/>
        <w:rPr>
          <w:sz w:val="22"/>
        </w:rPr>
      </w:pPr>
      <w:r>
        <w:rPr>
          <w:sz w:val="22"/>
        </w:rPr>
        <w:t>1400 Smith Street</w:t>
      </w:r>
    </w:p>
    <w:p>
      <w:pPr>
        <w:pStyle w:val="Normal"/>
        <w:jc w:val="start"/>
        <w:rPr>
          <w:sz w:val="22"/>
        </w:rPr>
      </w:pPr>
      <w:r>
        <w:rPr>
          <w:sz w:val="22"/>
        </w:rPr>
        <w:t>P. O. Box 1188</w:t>
      </w:r>
    </w:p>
    <w:p>
      <w:pPr>
        <w:pStyle w:val="Normal"/>
        <w:jc w:val="start"/>
        <w:rPr>
          <w:sz w:val="22"/>
        </w:rPr>
      </w:pPr>
      <w:r>
        <w:rPr>
          <w:sz w:val="22"/>
        </w:rPr>
        <w:t xml:space="preserve">Houston, TX  77251-1188 </w:t>
      </w:r>
    </w:p>
    <w:p>
      <w:pPr>
        <w:pStyle w:val="Normal"/>
        <w:jc w:val="start"/>
        <w:rPr>
          <w:sz w:val="22"/>
        </w:rPr>
      </w:pPr>
      <w:r>
        <w:rPr>
          <w:sz w:val="22"/>
        </w:rPr>
      </w:r>
    </w:p>
    <w:p>
      <w:pPr>
        <w:pStyle w:val="Normal"/>
        <w:ind w:hanging="1440" w:start="1440" w:end="0"/>
        <w:jc w:val="start"/>
        <w:rPr/>
      </w:pPr>
      <w:r>
        <w:rPr>
          <w:sz w:val="22"/>
        </w:rPr>
        <w:t>Subject:</w:t>
        <w:tab/>
      </w:r>
      <w:r>
        <w:rPr>
          <w:b/>
          <w:sz w:val="22"/>
        </w:rPr>
        <w:t>Cities of North Little Rock and Benton Purchase Power Request for Proposal.</w:t>
      </w:r>
    </w:p>
    <w:p>
      <w:pPr>
        <w:pStyle w:val="Normal"/>
        <w:jc w:val="start"/>
        <w:rPr>
          <w:b/>
          <w:sz w:val="22"/>
        </w:rPr>
      </w:pPr>
      <w:r>
        <w:rPr>
          <w:b/>
          <w:sz w:val="22"/>
        </w:rPr>
      </w:r>
    </w:p>
    <w:p>
      <w:pPr>
        <w:pStyle w:val="Normal"/>
        <w:jc w:val="start"/>
        <w:rPr>
          <w:sz w:val="22"/>
        </w:rPr>
      </w:pPr>
      <w:r>
        <w:rPr>
          <w:sz w:val="22"/>
        </w:rPr>
        <w:t>Dear Mr. Rorschach:</w:t>
      </w:r>
    </w:p>
    <w:p>
      <w:pPr>
        <w:pStyle w:val="Normal"/>
        <w:jc w:val="start"/>
        <w:rPr>
          <w:sz w:val="22"/>
        </w:rPr>
      </w:pPr>
      <w:r>
        <w:rPr>
          <w:sz w:val="22"/>
        </w:rPr>
      </w:r>
    </w:p>
    <w:p>
      <w:pPr>
        <w:pStyle w:val="Normal"/>
        <w:jc w:val="start"/>
        <w:rPr>
          <w:sz w:val="22"/>
        </w:rPr>
      </w:pPr>
      <w:r>
        <w:rPr>
          <w:sz w:val="22"/>
        </w:rPr>
        <w:t>This letter is to acknowledge receipt of Enron's proposal in response to the Cities of North Little Rock and Benton Request for Proposal (“RFP”) dated April 27, 2001.  Upon conducting a preliminary reviewing of Enron's proposal, we have identified the following questions.</w:t>
      </w:r>
    </w:p>
    <w:p>
      <w:pPr>
        <w:pStyle w:val="Normal"/>
        <w:jc w:val="start"/>
        <w:rPr>
          <w:sz w:val="22"/>
        </w:rPr>
      </w:pPr>
      <w:r>
        <w:rPr>
          <w:sz w:val="22"/>
        </w:rPr>
      </w:r>
    </w:p>
    <w:p>
      <w:pPr>
        <w:pStyle w:val="Normal"/>
        <w:numPr>
          <w:ilvl w:val="0"/>
          <w:numId w:val="4"/>
        </w:numPr>
        <w:tabs>
          <w:tab w:val="left" w:pos="720" w:leader="none"/>
        </w:tabs>
        <w:spacing w:before="0" w:after="120"/>
        <w:ind w:hanging="720" w:start="720" w:end="0"/>
        <w:jc w:val="start"/>
        <w:rPr>
          <w:sz w:val="22"/>
        </w:rPr>
      </w:pPr>
      <w:r>
        <w:rPr>
          <w:sz w:val="22"/>
        </w:rPr>
        <w:t>Please verify that your proposal will remain in effect through January 31, 2002.  If certain parts of the proposal are subject to change, please identify the terms and conditions that will not remain effective through January 31, 2002.  (Refer to RFP Section V.C.5.)</w:t>
      </w:r>
    </w:p>
    <w:p>
      <w:pPr>
        <w:pStyle w:val="Bullet1"/>
        <w:numPr>
          <w:ilvl w:val="0"/>
          <w:numId w:val="4"/>
        </w:numPr>
        <w:tabs>
          <w:tab w:val="left" w:pos="720" w:leader="none"/>
        </w:tabs>
        <w:spacing w:before="0" w:after="120"/>
        <w:ind w:hanging="720" w:start="720" w:end="0"/>
        <w:jc w:val="start"/>
        <w:rPr>
          <w:kern w:val="0"/>
          <w:sz w:val="22"/>
        </w:rPr>
      </w:pPr>
      <w:r>
        <w:rPr>
          <w:kern w:val="0"/>
          <w:sz w:val="22"/>
        </w:rPr>
        <w:t>Please explain how the bilateral one-time option to extend the agreement for one additional three (3) year period (Term 2) will work for each party.  The Cities’ preference would be to have the sole option to extend the agreement at a fixed price.</w:t>
      </w:r>
    </w:p>
    <w:p>
      <w:pPr>
        <w:pStyle w:val="Normal"/>
        <w:numPr>
          <w:ilvl w:val="0"/>
          <w:numId w:val="4"/>
        </w:numPr>
        <w:tabs>
          <w:tab w:val="left" w:pos="720" w:leader="none"/>
        </w:tabs>
        <w:spacing w:before="0" w:after="120"/>
        <w:ind w:hanging="720" w:start="720" w:end="0"/>
        <w:jc w:val="start"/>
        <w:rPr>
          <w:sz w:val="22"/>
        </w:rPr>
      </w:pPr>
      <w:r>
        <w:rPr>
          <w:sz w:val="22"/>
        </w:rPr>
        <w:t>Please verify that Enron will be responsible for all third party transmission costs, losses, and ancillary service charges for the delivery of power into the Entergy Transmission System.  (Refer to RFP Section V.C.8.)</w:t>
      </w:r>
    </w:p>
    <w:p>
      <w:pPr>
        <w:pStyle w:val="Bullet1"/>
        <w:numPr>
          <w:ilvl w:val="0"/>
          <w:numId w:val="4"/>
        </w:numPr>
        <w:tabs>
          <w:tab w:val="left" w:pos="720" w:leader="none"/>
        </w:tabs>
        <w:spacing w:before="0" w:after="120"/>
        <w:ind w:hanging="720" w:start="720" w:end="0"/>
        <w:jc w:val="start"/>
        <w:rPr>
          <w:kern w:val="0"/>
          <w:sz w:val="22"/>
        </w:rPr>
      </w:pPr>
      <w:r>
        <w:rPr>
          <w:kern w:val="0"/>
          <w:sz w:val="22"/>
        </w:rPr>
        <w:t>Please verify that Enron has successfully provided services (All Requirements Power) similar to that included in your proposal to at least one electric utility for a minimum of one year.  For each reference, please provide a personal contact and telephone number. (Refer to RFP Section V.C.8.)</w:t>
      </w:r>
    </w:p>
    <w:p>
      <w:pPr>
        <w:pStyle w:val="Bullet1"/>
        <w:numPr>
          <w:ilvl w:val="0"/>
          <w:numId w:val="4"/>
        </w:numPr>
        <w:tabs>
          <w:tab w:val="left" w:pos="720" w:leader="none"/>
        </w:tabs>
        <w:spacing w:before="0" w:after="120"/>
        <w:ind w:hanging="720" w:start="720" w:end="0"/>
        <w:jc w:val="start"/>
        <w:rPr>
          <w:kern w:val="0"/>
          <w:sz w:val="22"/>
        </w:rPr>
      </w:pPr>
      <w:r>
        <w:rPr>
          <w:kern w:val="0"/>
          <w:sz w:val="22"/>
        </w:rPr>
        <w:t>Please submit a transmission plan as described in Section IV.B.6 of the RFP.  (Refer to RFP Section V.C.14.)</w:t>
      </w:r>
    </w:p>
    <w:p>
      <w:pPr>
        <w:pStyle w:val="Bullet1"/>
        <w:numPr>
          <w:ilvl w:val="0"/>
          <w:numId w:val="4"/>
        </w:numPr>
        <w:tabs>
          <w:tab w:val="left" w:pos="720" w:leader="none"/>
        </w:tabs>
        <w:spacing w:before="0" w:after="120"/>
        <w:ind w:hanging="720" w:start="720" w:end="0"/>
        <w:jc w:val="start"/>
        <w:rPr>
          <w:kern w:val="0"/>
          <w:sz w:val="22"/>
        </w:rPr>
      </w:pPr>
      <w:r>
        <w:rPr>
          <w:kern w:val="0"/>
          <w:sz w:val="22"/>
        </w:rPr>
        <w:t>Please verify that all emissions allowance requirements will be satisfied and that any associated costs will be borne by Enron.  (Refer to RFP Section V.C.16.)</w:t>
      </w:r>
    </w:p>
    <w:p>
      <w:pPr>
        <w:pStyle w:val="Bullet1"/>
        <w:numPr>
          <w:ilvl w:val="0"/>
          <w:numId w:val="4"/>
        </w:numPr>
        <w:tabs>
          <w:tab w:val="left" w:pos="720" w:leader="none"/>
        </w:tabs>
        <w:spacing w:before="0" w:after="120"/>
        <w:ind w:hanging="720" w:start="720" w:end="0"/>
        <w:jc w:val="start"/>
        <w:rPr>
          <w:sz w:val="22"/>
        </w:rPr>
      </w:pPr>
      <w:r>
        <w:rPr>
          <w:kern w:val="0"/>
          <w:sz w:val="22"/>
        </w:rPr>
        <w:t>Please provide financial evidence and a sample of the form of any proposed security instruments as described in Section IV.B.4.  (Refer to RFP Section V.C.19.)</w:t>
      </w:r>
    </w:p>
    <w:p>
      <w:pPr>
        <w:pStyle w:val="Bullet1"/>
        <w:numPr>
          <w:ilvl w:val="0"/>
          <w:numId w:val="4"/>
        </w:numPr>
        <w:tabs>
          <w:tab w:val="left" w:pos="720" w:leader="none"/>
        </w:tabs>
        <w:spacing w:before="0" w:after="120"/>
        <w:ind w:hanging="720" w:start="720" w:end="0"/>
        <w:jc w:val="start"/>
        <w:rPr>
          <w:sz w:val="22"/>
        </w:rPr>
      </w:pPr>
      <w:r>
        <w:rPr>
          <w:kern w:val="0"/>
          <w:sz w:val="22"/>
        </w:rPr>
        <w:t>Please verify that the pricing is offered either individually or collectively to each of the Cities.</w:t>
      </w:r>
    </w:p>
    <w:p>
      <w:pPr>
        <w:pStyle w:val="Bullet1"/>
        <w:numPr>
          <w:ilvl w:val="0"/>
          <w:numId w:val="4"/>
        </w:numPr>
        <w:tabs>
          <w:tab w:val="left" w:pos="720" w:leader="none"/>
        </w:tabs>
        <w:spacing w:before="0" w:after="120"/>
        <w:ind w:hanging="720" w:start="720" w:end="0"/>
        <w:jc w:val="start"/>
        <w:rPr>
          <w:sz w:val="22"/>
        </w:rPr>
      </w:pPr>
      <w:r>
        <w:rPr>
          <w:kern w:val="0"/>
          <w:sz w:val="22"/>
        </w:rPr>
        <w:t>Please verify that the billing units (2003 – 1,309,203 MWh) for the proposed sale will be calculated at the Entergy transmission level and that the total amount will be reduced for energy generated at the Murray Hydroelectric Station.  Please provide an example showing the relationship between billing units and the Cities metered energy at the distribution level.  Examples should show how adjustments for distribution line losses, transformation losses and Entergy transmission losses will be handled.</w:t>
      </w:r>
    </w:p>
    <w:p>
      <w:pPr>
        <w:pStyle w:val="Bullet1"/>
        <w:numPr>
          <w:ilvl w:val="0"/>
          <w:numId w:val="4"/>
        </w:numPr>
        <w:tabs>
          <w:tab w:val="left" w:pos="720" w:leader="none"/>
        </w:tabs>
        <w:spacing w:before="0" w:after="120"/>
        <w:ind w:hanging="720" w:start="720" w:end="0"/>
        <w:jc w:val="start"/>
        <w:rPr>
          <w:sz w:val="22"/>
        </w:rPr>
      </w:pPr>
      <w:r>
        <w:rPr>
          <w:kern w:val="0"/>
          <w:sz w:val="22"/>
        </w:rPr>
        <w:t>Please verify that the price includes all delivery point metering and telemetering associated with providing power to the Cities.</w:t>
      </w:r>
    </w:p>
    <w:p>
      <w:pPr>
        <w:pStyle w:val="Bullet1"/>
        <w:numPr>
          <w:ilvl w:val="0"/>
          <w:numId w:val="4"/>
        </w:numPr>
        <w:tabs>
          <w:tab w:val="left" w:pos="720" w:leader="none"/>
        </w:tabs>
        <w:spacing w:before="0" w:after="120"/>
        <w:ind w:hanging="720" w:start="720" w:end="0"/>
        <w:jc w:val="start"/>
        <w:rPr>
          <w:sz w:val="22"/>
        </w:rPr>
      </w:pPr>
      <w:r>
        <w:rPr>
          <w:kern w:val="0"/>
          <w:sz w:val="22"/>
        </w:rPr>
        <w:t>Would Enron consider purchasing planning reserves from Entergy and if so, what (if any) would be the impact on price to the Cities.</w:t>
      </w:r>
    </w:p>
    <w:p>
      <w:pPr>
        <w:pStyle w:val="Bullet1"/>
        <w:numPr>
          <w:ilvl w:val="0"/>
          <w:numId w:val="4"/>
        </w:numPr>
        <w:tabs>
          <w:tab w:val="left" w:pos="720" w:leader="none"/>
        </w:tabs>
        <w:spacing w:before="0" w:after="120"/>
        <w:ind w:hanging="720" w:start="720" w:end="0"/>
        <w:jc w:val="start"/>
        <w:rPr>
          <w:sz w:val="22"/>
        </w:rPr>
      </w:pPr>
      <w:r>
        <w:rPr>
          <w:kern w:val="0"/>
          <w:sz w:val="22"/>
        </w:rPr>
        <w:t>Please verify that the price includes the following ancillary services from Entergy: Schedule 3 - Regulation and Frequency Control; Schedule 4 – Imbalance; Schedule 5 – Spinning Operating Reserves; and Schedule 6 – Supplemental Operating Reserves.</w:t>
      </w:r>
    </w:p>
    <w:p>
      <w:pPr>
        <w:pStyle w:val="Bullet1"/>
        <w:numPr>
          <w:ilvl w:val="0"/>
          <w:numId w:val="4"/>
        </w:numPr>
        <w:tabs>
          <w:tab w:val="left" w:pos="720" w:leader="none"/>
        </w:tabs>
        <w:spacing w:before="0" w:after="120"/>
        <w:ind w:hanging="720" w:start="720" w:end="0"/>
        <w:jc w:val="start"/>
        <w:rPr>
          <w:kern w:val="0"/>
          <w:sz w:val="22"/>
        </w:rPr>
      </w:pPr>
      <w:r>
        <w:rPr>
          <w:kern w:val="0"/>
          <w:sz w:val="22"/>
        </w:rPr>
        <w:t>Along with price, reliable generation and transmission are primary concerns to the Cities.  The Cities request the following information to be assured that these factors have been adequately addressed in your proposal.</w:t>
      </w:r>
    </w:p>
    <w:p>
      <w:pPr>
        <w:pStyle w:val="Normal"/>
        <w:ind w:hanging="360" w:start="720" w:end="0"/>
        <w:jc w:val="start"/>
        <w:rPr>
          <w:kern w:val="0"/>
          <w:sz w:val="22"/>
        </w:rPr>
      </w:pPr>
      <w:r>
        <w:rPr>
          <w:kern w:val="0"/>
          <w:sz w:val="22"/>
        </w:rPr>
      </w:r>
    </w:p>
    <w:p>
      <w:pPr>
        <w:pStyle w:val="Normal"/>
        <w:numPr>
          <w:ilvl w:val="0"/>
          <w:numId w:val="3"/>
        </w:numPr>
        <w:jc w:val="start"/>
        <w:rPr>
          <w:sz w:val="22"/>
        </w:rPr>
      </w:pPr>
      <w:r>
        <w:rPr>
          <w:sz w:val="22"/>
        </w:rPr>
        <w:t>Please provide a description detailing the status of all transmission arrangements.  Include copies of all applicable applications for transmission service from transmission service providers not previously provided.</w:t>
      </w:r>
    </w:p>
    <w:p>
      <w:pPr>
        <w:pStyle w:val="Normal"/>
        <w:jc w:val="start"/>
        <w:rPr>
          <w:sz w:val="22"/>
        </w:rPr>
      </w:pPr>
      <w:r>
        <w:rPr>
          <w:sz w:val="22"/>
        </w:rPr>
      </w:r>
    </w:p>
    <w:p>
      <w:pPr>
        <w:pStyle w:val="Normal"/>
        <w:numPr>
          <w:ilvl w:val="0"/>
          <w:numId w:val="3"/>
        </w:numPr>
        <w:jc w:val="start"/>
        <w:rPr>
          <w:sz w:val="22"/>
        </w:rPr>
      </w:pPr>
      <w:r>
        <w:rPr>
          <w:sz w:val="22"/>
        </w:rPr>
        <w:t>Would Enron be willing to, or have you already filed for point-to-point transmission service over the Entergy System to expedite the approval process for network transmission service?  Explain the status of such requests.</w:t>
      </w:r>
    </w:p>
    <w:p>
      <w:pPr>
        <w:pStyle w:val="Normal"/>
        <w:jc w:val="start"/>
        <w:rPr>
          <w:sz w:val="22"/>
        </w:rPr>
      </w:pPr>
      <w:r>
        <w:rPr>
          <w:sz w:val="22"/>
        </w:rPr>
      </w:r>
    </w:p>
    <w:p>
      <w:pPr>
        <w:pStyle w:val="Normal"/>
        <w:numPr>
          <w:ilvl w:val="0"/>
          <w:numId w:val="3"/>
        </w:numPr>
        <w:jc w:val="start"/>
        <w:rPr>
          <w:sz w:val="22"/>
        </w:rPr>
      </w:pPr>
      <w:r>
        <w:rPr>
          <w:sz w:val="22"/>
        </w:rPr>
        <w:t>Please provide a back up plan to provide the production service to the Cities or the financial equivalent (e.g., for NLR, pay the difference between your proposal and Entergy’s formula cost of service rate which is an option available to NLR when the existing arrangement is terminated) for a certain period of time in the event that Entergy network transmission service is delayed beyond July 1, 2002.</w:t>
      </w:r>
    </w:p>
    <w:p>
      <w:pPr>
        <w:pStyle w:val="Normal"/>
        <w:jc w:val="start"/>
        <w:rPr>
          <w:sz w:val="22"/>
        </w:rPr>
      </w:pPr>
      <w:r>
        <w:rPr>
          <w:sz w:val="22"/>
        </w:rPr>
      </w:r>
    </w:p>
    <w:p>
      <w:pPr>
        <w:pStyle w:val="Normal"/>
        <w:numPr>
          <w:ilvl w:val="0"/>
          <w:numId w:val="3"/>
        </w:numPr>
        <w:jc w:val="start"/>
        <w:rPr>
          <w:sz w:val="22"/>
        </w:rPr>
      </w:pPr>
      <w:r>
        <w:rPr>
          <w:sz w:val="22"/>
        </w:rPr>
        <w:t>Please describe how your proposal will firm up the proposed sale to the Cities to make associated generation reliability comparable to a system sale from a larger system (e.g. Cities’ existing arrangements).  Also, please describe the type of commitment that you would be willing to make to the Cities to ensure adequate reserve capacity is available to respond to equipment outages or de-ratings.  Explain clearly your reliance, if any, on imbalance service by the Cities' host control area.</w:t>
      </w:r>
    </w:p>
    <w:p>
      <w:pPr>
        <w:pStyle w:val="Normal"/>
        <w:numPr>
          <w:ilvl w:val="0"/>
          <w:numId w:val="3"/>
        </w:numPr>
        <w:jc w:val="start"/>
        <w:rPr>
          <w:sz w:val="22"/>
        </w:rPr>
      </w:pPr>
      <w:r>
        <w:rPr>
          <w:sz w:val="22"/>
        </w:rPr>
        <w:t>Please provide a list of your resources that would be identified as the Cities network resources including for each resource the name, unit number, capacity commitment, reserve commitment and firm commitments (other than Cities).  The total should represent the total commitments of resources plus 15% reserves.  If the resources are less than 100% owned by Enron, please identify the percentage ownership of each owner. Please provide sufficient information to show that the resource will be available to provide service by July 1, 2002 (Refer to RFP Section V.C.17.).  Also, please identify the control area for each resource.</w:t>
      </w:r>
    </w:p>
    <w:p>
      <w:pPr>
        <w:pStyle w:val="Normal"/>
        <w:ind w:start="360" w:end="0"/>
        <w:jc w:val="start"/>
        <w:rPr>
          <w:sz w:val="22"/>
        </w:rPr>
      </w:pPr>
      <w:r>
        <w:rPr>
          <w:sz w:val="22"/>
        </w:rPr>
      </w:r>
    </w:p>
    <w:p>
      <w:pPr>
        <w:pStyle w:val="Normal"/>
        <w:numPr>
          <w:ilvl w:val="0"/>
          <w:numId w:val="4"/>
        </w:numPr>
        <w:tabs>
          <w:tab w:val="clear" w:pos="720"/>
          <w:tab w:val="left" w:pos="630" w:leader="none"/>
        </w:tabs>
        <w:ind w:hanging="630" w:start="630" w:end="0"/>
        <w:jc w:val="start"/>
        <w:rPr>
          <w:sz w:val="22"/>
        </w:rPr>
      </w:pPr>
      <w:r>
        <w:rPr>
          <w:sz w:val="22"/>
        </w:rPr>
        <w:t>Please verify that Enron will be responsible for all imbalance charges on the Entergy and third party transmission systems including that associated with the Murray Hydroelectric Station.</w:t>
      </w:r>
    </w:p>
    <w:p>
      <w:pPr>
        <w:pStyle w:val="Normal"/>
        <w:jc w:val="start"/>
        <w:rPr>
          <w:sz w:val="22"/>
        </w:rPr>
      </w:pPr>
      <w:r>
        <w:rPr>
          <w:sz w:val="22"/>
        </w:rPr>
      </w:r>
    </w:p>
    <w:p>
      <w:pPr>
        <w:pStyle w:val="Normal"/>
        <w:spacing w:before="0" w:after="240"/>
        <w:jc w:val="start"/>
        <w:rPr>
          <w:sz w:val="22"/>
        </w:rPr>
      </w:pPr>
      <w:r>
        <w:rPr>
          <w:sz w:val="22"/>
        </w:rPr>
        <w:t xml:space="preserve">To ensure integration of Enron's proposal into the ongoing evaluation process, we are requesting that we receive your response to the above questions by Friday, October 26, 2001.  Thank you for continued participation in the NLR and Benton Purchase Power RFP process. </w:t>
      </w:r>
    </w:p>
    <w:p>
      <w:pPr>
        <w:pStyle w:val="Bullet1"/>
        <w:numPr>
          <w:ilvl w:val="0"/>
          <w:numId w:val="0"/>
        </w:numPr>
        <w:spacing w:before="0" w:after="120"/>
        <w:ind w:hanging="360" w:start="360" w:end="0"/>
        <w:jc w:val="start"/>
        <w:rPr>
          <w:kern w:val="0"/>
          <w:sz w:val="22"/>
        </w:rPr>
      </w:pPr>
      <w:r>
        <w:rPr>
          <w:kern w:val="0"/>
          <w:sz w:val="22"/>
        </w:rPr>
      </w:r>
    </w:p>
    <w:p>
      <w:pPr>
        <w:pStyle w:val="Bullet1"/>
        <w:numPr>
          <w:ilvl w:val="0"/>
          <w:numId w:val="0"/>
        </w:numPr>
        <w:spacing w:before="0" w:after="120"/>
        <w:ind w:hanging="360" w:start="360" w:end="0"/>
        <w:jc w:val="start"/>
        <w:rPr>
          <w:kern w:val="0"/>
          <w:sz w:val="22"/>
        </w:rPr>
      </w:pPr>
      <w:r>
        <w:rPr>
          <w:kern w:val="0"/>
          <w:sz w:val="22"/>
        </w:rPr>
        <w:t>Very Respectfully,</w:t>
      </w:r>
    </w:p>
    <w:p>
      <w:pPr>
        <w:pStyle w:val="Bullet1"/>
        <w:numPr>
          <w:ilvl w:val="0"/>
          <w:numId w:val="0"/>
        </w:numPr>
        <w:spacing w:before="0" w:after="120"/>
        <w:ind w:hanging="360" w:start="360" w:end="0"/>
        <w:jc w:val="start"/>
        <w:rPr>
          <w:kern w:val="0"/>
          <w:sz w:val="22"/>
        </w:rPr>
      </w:pPr>
      <w:r>
        <w:rPr>
          <w:kern w:val="0"/>
          <w:sz w:val="22"/>
        </w:rPr>
      </w:r>
    </w:p>
    <w:p>
      <w:pPr>
        <w:pStyle w:val="Bullet1"/>
        <w:numPr>
          <w:ilvl w:val="0"/>
          <w:numId w:val="0"/>
        </w:numPr>
        <w:spacing w:before="0" w:after="0"/>
        <w:ind w:hanging="360" w:start="360" w:end="0"/>
        <w:jc w:val="start"/>
        <w:rPr>
          <w:bCs/>
          <w:kern w:val="0"/>
          <w:sz w:val="22"/>
        </w:rPr>
      </w:pPr>
      <w:r>
        <w:rPr>
          <w:bCs/>
          <w:kern w:val="0"/>
          <w:sz w:val="22"/>
        </w:rPr>
        <w:t xml:space="preserve">Joe Gertsch </w:t>
      </w:r>
    </w:p>
    <w:p>
      <w:pPr>
        <w:pStyle w:val="Bullet1"/>
        <w:numPr>
          <w:ilvl w:val="0"/>
          <w:numId w:val="0"/>
        </w:numPr>
        <w:spacing w:before="0" w:after="0"/>
        <w:ind w:hanging="360" w:start="360" w:end="0"/>
        <w:jc w:val="start"/>
        <w:rPr>
          <w:bCs/>
          <w:kern w:val="0"/>
          <w:sz w:val="22"/>
        </w:rPr>
      </w:pPr>
      <w:r>
        <w:rPr>
          <w:bCs/>
          <w:kern w:val="0"/>
          <w:sz w:val="22"/>
        </w:rPr>
        <w:t>Systems Engineer</w:t>
      </w:r>
    </w:p>
    <w:p>
      <w:pPr>
        <w:pStyle w:val="Bullet1"/>
        <w:numPr>
          <w:ilvl w:val="0"/>
          <w:numId w:val="0"/>
        </w:numPr>
        <w:spacing w:before="0" w:after="0"/>
        <w:ind w:hanging="360" w:start="360" w:end="0"/>
        <w:jc w:val="start"/>
        <w:rPr>
          <w:bCs/>
          <w:kern w:val="0"/>
          <w:sz w:val="22"/>
        </w:rPr>
      </w:pPr>
      <w:r>
        <w:rPr>
          <w:bCs/>
          <w:kern w:val="0"/>
          <w:sz w:val="22"/>
        </w:rPr>
      </w:r>
    </w:p>
    <w:p>
      <w:pPr>
        <w:pStyle w:val="Bullet1"/>
        <w:numPr>
          <w:ilvl w:val="0"/>
          <w:numId w:val="0"/>
        </w:numPr>
        <w:spacing w:before="0" w:after="0"/>
        <w:ind w:hanging="360" w:start="360" w:end="0"/>
        <w:jc w:val="start"/>
        <w:rPr>
          <w:bCs/>
          <w:kern w:val="0"/>
          <w:sz w:val="22"/>
        </w:rPr>
      </w:pPr>
      <w:r>
        <w:rPr>
          <w:bCs/>
          <w:kern w:val="0"/>
          <w:sz w:val="22"/>
        </w:rPr>
      </w:r>
    </w:p>
    <w:p>
      <w:pPr>
        <w:pStyle w:val="Bullet1"/>
        <w:numPr>
          <w:ilvl w:val="0"/>
          <w:numId w:val="0"/>
        </w:numPr>
        <w:spacing w:before="0" w:after="0"/>
        <w:ind w:hanging="360" w:start="360" w:end="0"/>
        <w:jc w:val="start"/>
        <w:rPr>
          <w:bCs/>
          <w:kern w:val="0"/>
          <w:sz w:val="22"/>
        </w:rPr>
      </w:pPr>
      <w:r>
        <w:rPr>
          <w:bCs/>
          <w:kern w:val="0"/>
          <w:sz w:val="22"/>
        </w:rPr>
        <w:t>CC:</w:t>
        <w:tab/>
        <w:tab/>
        <w:t>John Walden</w:t>
      </w:r>
    </w:p>
    <w:p>
      <w:pPr>
        <w:pStyle w:val="Bullet1"/>
        <w:numPr>
          <w:ilvl w:val="0"/>
          <w:numId w:val="0"/>
        </w:numPr>
        <w:spacing w:before="0" w:after="0"/>
        <w:ind w:hanging="360" w:start="360" w:end="0"/>
        <w:jc w:val="start"/>
        <w:rPr>
          <w:bCs/>
          <w:kern w:val="0"/>
          <w:sz w:val="22"/>
        </w:rPr>
      </w:pPr>
      <w:r>
        <w:rPr>
          <w:bCs/>
          <w:kern w:val="0"/>
          <w:sz w:val="22"/>
        </w:rPr>
        <w:tab/>
        <w:tab/>
        <w:t>Connie Woodard</w:t>
      </w:r>
    </w:p>
    <w:p>
      <w:pPr>
        <w:pStyle w:val="Bullet1"/>
        <w:numPr>
          <w:ilvl w:val="0"/>
          <w:numId w:val="0"/>
        </w:numPr>
        <w:spacing w:before="0" w:after="120"/>
        <w:ind w:hanging="360" w:start="360" w:end="0"/>
        <w:jc w:val="start"/>
        <w:rPr>
          <w:bCs/>
          <w:kern w:val="0"/>
          <w:sz w:val="22"/>
        </w:rPr>
      </w:pPr>
      <w:r>
        <w:rPr>
          <w:bCs/>
          <w:kern w:val="0"/>
          <w:sz w:val="22"/>
        </w:rPr>
      </w:r>
    </w:p>
    <w:sectPr>
      <w:headerReference w:type="default" r:id="rId2"/>
      <w:headerReference w:type="first" r:id="rId3"/>
      <w:type w:val="nextPage"/>
      <w:pgSz w:w="12240" w:h="15840"/>
      <w:pgMar w:left="1829" w:right="108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t>Mr. Reagan C. Rorschach</w:t>
    </w:r>
  </w:p>
  <w:p>
    <w:pPr>
      <w:pStyle w:val="Header"/>
      <w:rPr/>
    </w:pPr>
    <w:r>
      <w:rPr/>
      <w:t>October 22,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0"/>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overflowPunct w:val="false"/>
      <w:autoSpaceDE w:val="false"/>
      <w:spacing w:before="480" w:after="0"/>
      <w:jc w:val="both"/>
      <w:textAlignment w:val="baseline"/>
      <w:outlineLvl w:val="0"/>
    </w:pPr>
    <w:rPr>
      <w:rFonts w:ascii="Arial Narrow" w:hAnsi="Arial Narrow" w:cs="Arial Narrow"/>
      <w:b/>
      <w:caps/>
      <w:kern w:val="2"/>
      <w:sz w:val="28"/>
    </w:rPr>
  </w:style>
  <w:style w:type="paragraph" w:styleId="Heading2">
    <w:name w:val="heading 2"/>
    <w:basedOn w:val="Normal"/>
    <w:next w:val="BodyText"/>
    <w:qFormat/>
    <w:pPr>
      <w:keepNext w:val="true"/>
      <w:numPr>
        <w:ilvl w:val="1"/>
        <w:numId w:val="1"/>
      </w:numPr>
      <w:overflowPunct w:val="false"/>
      <w:autoSpaceDE w:val="false"/>
      <w:spacing w:before="360" w:after="0"/>
      <w:jc w:val="both"/>
      <w:textAlignment w:val="baseline"/>
      <w:outlineLvl w:val="1"/>
    </w:pPr>
    <w:rPr>
      <w:rFonts w:ascii="Arial Narrow" w:hAnsi="Arial Narrow" w:cs="Arial Narrow"/>
      <w:b/>
      <w:smallCaps/>
      <w:kern w:val="2"/>
      <w:sz w:val="28"/>
    </w:rPr>
  </w:style>
  <w:style w:type="paragraph" w:styleId="Heading3">
    <w:name w:val="heading 3"/>
    <w:basedOn w:val="Normal"/>
    <w:next w:val="BodyText"/>
    <w:qFormat/>
    <w:pPr>
      <w:keepNext w:val="true"/>
      <w:numPr>
        <w:ilvl w:val="2"/>
        <w:numId w:val="1"/>
      </w:numPr>
      <w:overflowPunct w:val="false"/>
      <w:autoSpaceDE w:val="false"/>
      <w:spacing w:before="240" w:after="0"/>
      <w:jc w:val="both"/>
      <w:textAlignment w:val="baseline"/>
      <w:outlineLvl w:val="2"/>
    </w:pPr>
    <w:rPr>
      <w:rFonts w:ascii="Arial Narrow" w:hAnsi="Arial Narrow" w:cs="Arial Narrow"/>
      <w:b/>
      <w:caps/>
      <w:kern w:val="2"/>
      <w:sz w:val="24"/>
    </w:rPr>
  </w:style>
  <w:style w:type="character" w:styleId="WW8Num1z0">
    <w:name w:val="WW8Num1z0"/>
    <w:qFormat/>
    <w:rPr>
      <w:rFonts w:ascii="Wingdings" w:hAnsi="Wingdings" w:cs="Wingdings"/>
      <w:sz w:val="20"/>
    </w:rPr>
  </w:style>
  <w:style w:type="character" w:styleId="WW8Num2z0">
    <w:name w:val="WW8Num2z0"/>
    <w:qFormat/>
    <w:rPr>
      <w:b w:val="false"/>
      <w:i w:val="false"/>
    </w:rPr>
  </w:style>
  <w:style w:type="character" w:styleId="WW8Num3z0">
    <w:name w:val="WW8Num3z0"/>
    <w:qFormat/>
    <w:rPr/>
  </w:style>
  <w:style w:type="character" w:styleId="WW8Num4z0">
    <w:name w:val="WW8Num4z0"/>
    <w:qFormat/>
    <w:rPr>
      <w:rFonts w:ascii="Wingdings" w:hAnsi="Wingdings" w:cs="Wingdings"/>
      <w:sz w:val="20"/>
    </w:rPr>
  </w:style>
  <w:style w:type="character" w:styleId="WW8Num7z0">
    <w:name w:val="WW8Num7z0"/>
    <w:qFormat/>
    <w:rPr>
      <w:rFonts w:ascii="Wingdings" w:hAnsi="Wingdings" w:cs="Wingdings"/>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pPr>
      <w:widowControl/>
      <w:overflowPunct w:val="false"/>
      <w:autoSpaceDE w:val="false"/>
      <w:bidi w:val="0"/>
      <w:spacing w:before="120" w:after="0"/>
      <w:jc w:val="both"/>
      <w:textAlignment w:val="baseline"/>
    </w:pPr>
    <w:rPr>
      <w:rFonts w:ascii="Times New Roman" w:hAnsi="Times New Roman" w:eastAsia="Times New Roman" w:cs="Times New Roman"/>
      <w:color w:val="auto"/>
      <w:kern w:val="2"/>
      <w:sz w:val="24"/>
      <w:szCs w:val="20"/>
      <w:lang w:val="en-US" w:bidi="ar-SA" w:eastAsia="zh-C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qFormat/>
    <w:pPr>
      <w:widowControl/>
      <w:numPr>
        <w:ilvl w:val="0"/>
        <w:numId w:val="2"/>
      </w:numPr>
      <w:bidi w:val="0"/>
      <w:spacing w:before="120" w:after="0"/>
      <w:jc w:val="both"/>
    </w:pPr>
    <w:rPr>
      <w:rFonts w:ascii="Times New Roman" w:hAnsi="Times New Roman" w:eastAsia="Times New Roman" w:cs="Times New Roman"/>
      <w:color w:val="auto"/>
      <w:kern w:val="2"/>
      <w:sz w:val="24"/>
      <w:szCs w:val="20"/>
      <w:lang w:val="en-US" w:bidi="ar-SA" w:eastAsia="zh-CN"/>
    </w:rPr>
  </w:style>
  <w:style w:type="paragraph" w:styleId="HdA">
    <w:name w:val="Hd A"/>
    <w:next w:val="Normal"/>
    <w:qFormat/>
    <w:pPr>
      <w:widowControl/>
      <w:overflowPunct w:val="false"/>
      <w:autoSpaceDE w:val="false"/>
      <w:bidi w:val="0"/>
      <w:spacing w:lineRule="exact" w:line="480"/>
      <w:jc w:val="end"/>
      <w:textAlignment w:val="baseline"/>
    </w:pPr>
    <w:rPr>
      <w:rFonts w:ascii="Arial Narrow" w:hAnsi="Arial Narrow" w:eastAsia="Times New Roman" w:cs="Arial Narrow"/>
      <w:b/>
      <w:smallCaps/>
      <w:color w:val="auto"/>
      <w:kern w:val="2"/>
      <w:sz w:val="32"/>
      <w:szCs w:val="20"/>
      <w:lang w:val="en-US" w:bidi="ar-SA" w:eastAsia="zh-CN"/>
    </w:rPr>
  </w:style>
  <w:style w:type="paragraph" w:styleId="HeaderOdd">
    <w:name w:val="Header Odd"/>
    <w:next w:val="BodyText"/>
    <w:qFormat/>
    <w:pPr>
      <w:widowControl w:val="false"/>
      <w:pBdr>
        <w:bottom w:val="single" w:sz="6" w:space="5" w:color="000000"/>
      </w:pBdr>
      <w:tabs>
        <w:tab w:val="clear" w:pos="720"/>
        <w:tab w:val="right" w:pos="7200" w:leader="none"/>
      </w:tabs>
      <w:overflowPunct w:val="false"/>
      <w:autoSpaceDE w:val="false"/>
      <w:bidi w:val="0"/>
      <w:spacing w:before="0" w:after="480"/>
      <w:jc w:val="end"/>
      <w:textAlignment w:val="baseline"/>
    </w:pPr>
    <w:rPr>
      <w:rFonts w:ascii="Arial Narrow" w:hAnsi="Arial Narrow" w:eastAsia="Times New Roman" w:cs="Arial Narrow"/>
      <w:b/>
      <w:smallCaps/>
      <w:color w:val="auto"/>
      <w:kern w:val="2"/>
      <w:sz w:val="28"/>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Return">
    <w:name w:val="envelope return"/>
    <w:basedOn w:val="Normal"/>
    <w:pPr>
      <w:jc w:val="star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2001-10-22T11:17:00Z</dcterms:created>
  <dc:creator>computer services</dc:creator>
  <dc:description/>
  <dc:language>en-CA</dc:language>
  <cp:lastModifiedBy>J_Gertsch</cp:lastModifiedBy>
  <cp:lastPrinted>2001-10-22T11:57:00Z</cp:lastPrinted>
  <dcterms:modified xsi:type="dcterms:W3CDTF">2001-10-22T14:34:00Z</dcterms:modified>
  <cp:revision>4</cp:revision>
  <dc:subject/>
  <dc:title>August 23, 2001</dc:title>
</cp:coreProperties>
</file>