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sz w:val="36"/>
        </w:rPr>
      </w:pPr>
      <w:r>
        <w:rPr>
          <w:sz w:val="36"/>
        </w:rPr>
        <w:t>Enron &amp; WR Hambrecht + Co.</w:t>
      </w:r>
    </w:p>
    <w:p>
      <w:pPr>
        <w:pStyle w:val="Heading1"/>
        <w:ind w:hanging="0" w:start="0"/>
        <w:jc w:val="center"/>
        <w:rPr>
          <w:sz w:val="36"/>
        </w:rPr>
      </w:pPr>
      <w:r>
        <w:rPr>
          <w:sz w:val="36"/>
        </w:rPr>
        <w:t>Joint Venture Proposal</w:t>
      </w:r>
    </w:p>
    <w:p>
      <w:pPr>
        <w:pStyle w:val="Normal"/>
        <w:rPr>
          <w:sz w:val="36"/>
        </w:rPr>
      </w:pPr>
      <w:r>
        <w:rPr>
          <w:sz w:val="36"/>
        </w:rPr>
      </w:r>
    </w:p>
    <w:p>
      <w:pPr>
        <w:pStyle w:val="Normal"/>
        <w:rPr/>
      </w:pPr>
      <w:r>
        <w:rPr/>
      </w:r>
    </w:p>
    <w:p>
      <w:pPr>
        <w:pStyle w:val="Normal"/>
        <w:rPr/>
      </w:pPr>
      <w:r>
        <w:rPr/>
      </w:r>
    </w:p>
    <w:p>
      <w:pPr>
        <w:pStyle w:val="Heading2"/>
        <w:ind w:hanging="0" w:start="0"/>
        <w:rPr>
          <w:sz w:val="28"/>
        </w:rPr>
      </w:pPr>
      <w:r>
        <w:rPr>
          <w:sz w:val="28"/>
        </w:rPr>
        <w:t>Executive Summary</w:t>
      </w:r>
    </w:p>
    <w:p>
      <w:pPr>
        <w:pStyle w:val="Normal"/>
        <w:rPr>
          <w:sz w:val="28"/>
        </w:rPr>
      </w:pPr>
      <w:r>
        <w:rPr>
          <w:sz w:val="28"/>
        </w:rPr>
      </w:r>
    </w:p>
    <w:p>
      <w:pPr>
        <w:pStyle w:val="Normal"/>
        <w:rPr/>
      </w:pPr>
      <w:r>
        <w:rPr/>
      </w:r>
    </w:p>
    <w:p>
      <w:pPr>
        <w:pStyle w:val="Normal"/>
        <w:numPr>
          <w:ilvl w:val="0"/>
          <w:numId w:val="4"/>
        </w:numPr>
        <w:tabs>
          <w:tab w:val="clear" w:pos="720"/>
          <w:tab w:val="left" w:pos="6948" w:leader="none"/>
        </w:tabs>
        <w:rPr/>
      </w:pPr>
      <w:r>
        <w:rPr/>
        <w:t>Enron and WR Hambrecht + Co will jointly develop (‘Joint Venture’) a securities capability initially focusing on the principal trading of emerging technology common stocks.  Firms such as Morgan Stanley and Goldman Sachs often derive 40-50% of total profits from activities related to their proprietary trading desks.</w:t>
      </w:r>
    </w:p>
    <w:p>
      <w:pPr>
        <w:pStyle w:val="Normal"/>
        <w:tabs>
          <w:tab w:val="clear" w:pos="720"/>
          <w:tab w:val="left" w:pos="6948" w:leader="none"/>
        </w:tabs>
        <w:ind w:start="360" w:end="0"/>
        <w:rPr/>
      </w:pPr>
      <w:r>
        <w:rPr/>
      </w:r>
    </w:p>
    <w:p>
      <w:pPr>
        <w:pStyle w:val="Normal"/>
        <w:numPr>
          <w:ilvl w:val="0"/>
          <w:numId w:val="4"/>
        </w:numPr>
        <w:tabs>
          <w:tab w:val="clear" w:pos="720"/>
          <w:tab w:val="left" w:pos="6948" w:leader="none"/>
        </w:tabs>
        <w:rPr/>
      </w:pPr>
      <w:r>
        <w:rPr/>
        <w:t xml:space="preserve">WR Hambrecht has a competitive advantage in this universe of securities derived from both industry knowledge and order flow from WRH’s existing agency trading desk.  Furthermore, WRH believes that inefficiencies, and, therefore, trading opportunities exist in this sector. </w:t>
      </w:r>
    </w:p>
    <w:p>
      <w:pPr>
        <w:pStyle w:val="Normal"/>
        <w:tabs>
          <w:tab w:val="clear" w:pos="720"/>
          <w:tab w:val="left" w:pos="6948" w:leader="none"/>
        </w:tabs>
        <w:rPr/>
      </w:pPr>
      <w:r>
        <w:rPr/>
      </w:r>
    </w:p>
    <w:p>
      <w:pPr>
        <w:pStyle w:val="Normal"/>
        <w:numPr>
          <w:ilvl w:val="0"/>
          <w:numId w:val="4"/>
        </w:numPr>
        <w:tabs>
          <w:tab w:val="clear" w:pos="720"/>
          <w:tab w:val="left" w:pos="6948" w:leader="none"/>
        </w:tabs>
        <w:rPr/>
      </w:pPr>
      <w:r>
        <w:rPr/>
        <w:t>Enron’s expertise in risk management and derivatives trading will support the principal trading and development of future product lines.  Central to the success of the Joint Venture will be development of quantitative modeling capability that will enable rapid movement of capital in and out of trading positions while effectively managing risk.</w:t>
      </w:r>
    </w:p>
    <w:p>
      <w:pPr>
        <w:pStyle w:val="Normal"/>
        <w:tabs>
          <w:tab w:val="clear" w:pos="720"/>
          <w:tab w:val="left" w:pos="6948" w:leader="none"/>
        </w:tabs>
        <w:rPr/>
      </w:pPr>
      <w:r>
        <w:rPr/>
      </w:r>
    </w:p>
    <w:p>
      <w:pPr>
        <w:pStyle w:val="Normal"/>
        <w:numPr>
          <w:ilvl w:val="0"/>
          <w:numId w:val="4"/>
        </w:numPr>
        <w:tabs>
          <w:tab w:val="clear" w:pos="720"/>
          <w:tab w:val="left" w:pos="6948" w:leader="none"/>
        </w:tabs>
        <w:rPr/>
      </w:pPr>
      <w:r>
        <w:rPr/>
        <w:t>The proprietary trading program will provide critical mass in terms of professional participation, asset flow and technological innovation necessary to develop new product lines and exploit market opportunities including:</w:t>
      </w:r>
    </w:p>
    <w:p>
      <w:pPr>
        <w:pStyle w:val="Normal"/>
        <w:tabs>
          <w:tab w:val="clear" w:pos="720"/>
          <w:tab w:val="left" w:pos="6948" w:leader="none"/>
        </w:tabs>
        <w:rPr/>
      </w:pPr>
      <w:r>
        <w:rPr/>
      </w:r>
    </w:p>
    <w:p>
      <w:pPr>
        <w:pStyle w:val="Normal"/>
        <w:numPr>
          <w:ilvl w:val="1"/>
          <w:numId w:val="4"/>
        </w:numPr>
        <w:tabs>
          <w:tab w:val="clear" w:pos="720"/>
          <w:tab w:val="left" w:pos="6948" w:leader="none"/>
        </w:tabs>
        <w:rPr/>
      </w:pPr>
      <w:r>
        <w:rPr/>
        <w:t>Equity derivatives trading and market making</w:t>
      </w:r>
    </w:p>
    <w:p>
      <w:pPr>
        <w:pStyle w:val="Normal"/>
        <w:numPr>
          <w:ilvl w:val="1"/>
          <w:numId w:val="4"/>
        </w:numPr>
        <w:tabs>
          <w:tab w:val="clear" w:pos="720"/>
          <w:tab w:val="left" w:pos="6948" w:leader="none"/>
        </w:tabs>
        <w:rPr/>
      </w:pPr>
      <w:r>
        <w:rPr/>
        <w:t>Fixed income agency block trading and principal trading</w:t>
      </w:r>
    </w:p>
    <w:p>
      <w:pPr>
        <w:pStyle w:val="Normal"/>
        <w:numPr>
          <w:ilvl w:val="1"/>
          <w:numId w:val="4"/>
        </w:numPr>
        <w:tabs>
          <w:tab w:val="clear" w:pos="720"/>
          <w:tab w:val="left" w:pos="6948" w:leader="none"/>
        </w:tabs>
        <w:rPr/>
      </w:pPr>
      <w:r>
        <w:rPr/>
        <w:t>Development of a fixed income and hybrid securities derivatives market place</w:t>
      </w:r>
    </w:p>
    <w:p>
      <w:pPr>
        <w:pStyle w:val="Normal"/>
        <w:numPr>
          <w:ilvl w:val="1"/>
          <w:numId w:val="4"/>
        </w:numPr>
        <w:tabs>
          <w:tab w:val="clear" w:pos="720"/>
          <w:tab w:val="left" w:pos="6948" w:leader="none"/>
        </w:tabs>
        <w:rPr/>
      </w:pPr>
      <w:r>
        <w:rPr/>
        <w:t>Development of Electronic Communications Networks (ECNs) or exchanges</w:t>
      </w:r>
    </w:p>
    <w:p>
      <w:pPr>
        <w:pStyle w:val="Normal"/>
        <w:tabs>
          <w:tab w:val="clear" w:pos="720"/>
          <w:tab w:val="left" w:pos="6948" w:leader="none"/>
        </w:tabs>
        <w:rPr/>
      </w:pPr>
      <w:r>
        <w:rPr/>
      </w:r>
    </w:p>
    <w:p>
      <w:pPr>
        <w:pStyle w:val="Normal"/>
        <w:numPr>
          <w:ilvl w:val="0"/>
          <w:numId w:val="4"/>
        </w:numPr>
        <w:tabs>
          <w:tab w:val="clear" w:pos="720"/>
          <w:tab w:val="left" w:pos="6948" w:leader="none"/>
        </w:tabs>
        <w:rPr/>
      </w:pPr>
      <w:r>
        <w:rPr/>
        <w:t>This Joint Venture proposal envisions starting relatively small in an effort to control enterprise risk and to provide a setting wherein Enron and WRH can begin working together.  The economics of the proposed venture should scale well with the amount of committed and reinvested capital.</w:t>
      </w:r>
    </w:p>
    <w:p>
      <w:pPr>
        <w:pStyle w:val="Normal"/>
        <w:tabs>
          <w:tab w:val="clear" w:pos="720"/>
          <w:tab w:val="left" w:pos="6948" w:leader="none"/>
        </w:tabs>
        <w:rPr/>
      </w:pPr>
      <w:r>
        <w:rPr/>
      </w:r>
      <w:r>
        <w:br w:type="page"/>
      </w:r>
    </w:p>
    <w:p>
      <w:pPr>
        <w:pStyle w:val="Normal"/>
        <w:tabs>
          <w:tab w:val="clear" w:pos="720"/>
          <w:tab w:val="left" w:pos="6948" w:leader="none"/>
        </w:tabs>
        <w:rPr/>
      </w:pPr>
      <w:r>
        <w:rPr/>
      </w:r>
    </w:p>
    <w:p>
      <w:pPr>
        <w:pStyle w:val="Heading3"/>
        <w:ind w:hanging="0" w:start="0"/>
        <w:rPr/>
      </w:pPr>
      <w:r>
        <w:rPr/>
        <w:t>Structure and Operations</w:t>
      </w:r>
    </w:p>
    <w:p>
      <w:pPr>
        <w:pStyle w:val="Normal"/>
        <w:rPr/>
      </w:pPr>
      <w:r>
        <w:rPr/>
      </w:r>
    </w:p>
    <w:p>
      <w:pPr>
        <w:pStyle w:val="Normal"/>
        <w:numPr>
          <w:ilvl w:val="0"/>
          <w:numId w:val="5"/>
        </w:numPr>
        <w:rPr/>
      </w:pPr>
      <w:r>
        <w:rPr/>
        <w:t>The Joint Venture is currently envisioned as a separate legal entity with ownership shared by Enron and WR Hambrecht + Co</w:t>
      </w:r>
    </w:p>
    <w:p>
      <w:pPr>
        <w:pStyle w:val="Normal"/>
        <w:numPr>
          <w:ilvl w:val="0"/>
          <w:numId w:val="5"/>
        </w:numPr>
        <w:rPr/>
      </w:pPr>
      <w:r>
        <w:rPr/>
        <w:t>The JV will not compete directly with WRH’s current agency trading business or overlap with Enron’s current trading universe.</w:t>
      </w:r>
    </w:p>
    <w:p>
      <w:pPr>
        <w:pStyle w:val="Normal"/>
        <w:numPr>
          <w:ilvl w:val="0"/>
          <w:numId w:val="5"/>
        </w:numPr>
        <w:rPr/>
      </w:pPr>
      <w:r>
        <w:rPr/>
        <w:t>The JV will not register as a broker dealer since it will only trade for its own account. Registration and exchange memberships may be necessary eventually to accommodate new product lines.</w:t>
      </w:r>
    </w:p>
    <w:p>
      <w:pPr>
        <w:pStyle w:val="Normal"/>
        <w:numPr>
          <w:ilvl w:val="0"/>
          <w:numId w:val="5"/>
        </w:numPr>
        <w:rPr/>
      </w:pPr>
      <w:r>
        <w:rPr/>
        <w:t>Initially, professionals can be seconded from existing Enron and WRH staffs in such areas as accounting, settlement, and IT, but key hires will need to be made in trading and risk management/analytics:</w:t>
      </w:r>
    </w:p>
    <w:p>
      <w:pPr>
        <w:pStyle w:val="Normal"/>
        <w:numPr>
          <w:ilvl w:val="1"/>
          <w:numId w:val="5"/>
        </w:numPr>
        <w:rPr/>
      </w:pPr>
      <w:r>
        <w:rPr/>
        <w:t>Principal trading: two traders, with the senior of the two sourced from a proprietary desk at a firm like Goldman Sachs or Morgan Stanley.</w:t>
      </w:r>
    </w:p>
    <w:p>
      <w:pPr>
        <w:pStyle w:val="Normal"/>
        <w:numPr>
          <w:ilvl w:val="1"/>
          <w:numId w:val="5"/>
        </w:numPr>
        <w:rPr/>
      </w:pPr>
      <w:r>
        <w:rPr/>
        <w:t>Analytics: capability to deploy quantitative models and tools to enable rapid movement of capital while minimizing risk.</w:t>
      </w:r>
    </w:p>
    <w:p>
      <w:pPr>
        <w:pStyle w:val="Normal"/>
        <w:numPr>
          <w:ilvl w:val="0"/>
          <w:numId w:val="5"/>
        </w:numPr>
        <w:rPr/>
      </w:pPr>
      <w:r>
        <w:rPr/>
        <w:t>The JV can trade off flow generated by WRH’s agency desk and any other relevant sources of liquidity. In addition, the JV may take principal positions in OpenBlock transactions conducted by WRH’s trading desk. The OpenBlock platform provides a methodology for quickly and efficiently conducting block trades via the Internet. Generally block sales prices incorporate a substantial liquidity discount.</w:t>
      </w:r>
    </w:p>
    <w:p>
      <w:pPr>
        <w:pStyle w:val="Normal"/>
        <w:numPr>
          <w:ilvl w:val="0"/>
          <w:numId w:val="5"/>
        </w:numPr>
        <w:rPr/>
      </w:pPr>
      <w:r>
        <w:rPr/>
        <w:t xml:space="preserve">The JV will be physically separate from both the WRH and Enron trading desks </w:t>
      </w:r>
    </w:p>
    <w:p>
      <w:pPr>
        <w:pStyle w:val="Normal"/>
        <w:rPr/>
      </w:pPr>
      <w:r>
        <w:rPr/>
      </w:r>
    </w:p>
    <w:p>
      <w:pPr>
        <w:pStyle w:val="Heading3"/>
        <w:tabs>
          <w:tab w:val="clear" w:pos="6948"/>
        </w:tabs>
        <w:ind w:hanging="0" w:start="0"/>
        <w:rPr/>
      </w:pPr>
      <w:r>
        <w:rPr/>
        <w:t>Initial Steps</w:t>
      </w:r>
    </w:p>
    <w:p>
      <w:pPr>
        <w:pStyle w:val="Normal"/>
        <w:rPr>
          <w:sz w:val="28"/>
          <w:u w:val="single"/>
        </w:rPr>
      </w:pPr>
      <w:r>
        <w:rPr>
          <w:sz w:val="28"/>
          <w:u w:val="single"/>
        </w:rPr>
      </w:r>
    </w:p>
    <w:p>
      <w:pPr>
        <w:pStyle w:val="Normal"/>
        <w:numPr>
          <w:ilvl w:val="0"/>
          <w:numId w:val="3"/>
        </w:numPr>
        <w:rPr>
          <w:szCs w:val="28"/>
        </w:rPr>
      </w:pPr>
      <w:r>
        <w:rPr>
          <w:szCs w:val="28"/>
        </w:rPr>
        <w:t>Designate Project Team from Enron/WRH with the following responsibilities:</w:t>
      </w:r>
    </w:p>
    <w:p>
      <w:pPr>
        <w:pStyle w:val="Normal"/>
        <w:numPr>
          <w:ilvl w:val="1"/>
          <w:numId w:val="3"/>
        </w:numPr>
        <w:rPr>
          <w:szCs w:val="24"/>
        </w:rPr>
      </w:pPr>
      <w:r>
        <w:rPr/>
        <w:t>Develop structure for JV delineating legal structure, accountability responsibilities and ownership rights</w:t>
      </w:r>
    </w:p>
    <w:p>
      <w:pPr>
        <w:pStyle w:val="Normal"/>
        <w:numPr>
          <w:ilvl w:val="1"/>
          <w:numId w:val="3"/>
        </w:numPr>
        <w:rPr>
          <w:szCs w:val="24"/>
        </w:rPr>
      </w:pPr>
      <w:r>
        <w:rPr/>
        <w:t>Determine preliminary product mix, leverage parameters and risk management protocols</w:t>
      </w:r>
    </w:p>
    <w:p>
      <w:pPr>
        <w:pStyle w:val="Normal"/>
        <w:numPr>
          <w:ilvl w:val="1"/>
          <w:numId w:val="3"/>
        </w:numPr>
        <w:rPr/>
      </w:pPr>
      <w:r>
        <w:rPr/>
        <w:t>Prepare initial budget including projected revenues, expenses and working capital needs</w:t>
      </w:r>
    </w:p>
    <w:p>
      <w:pPr>
        <w:pStyle w:val="Normal"/>
        <w:numPr>
          <w:ilvl w:val="0"/>
          <w:numId w:val="3"/>
        </w:numPr>
        <w:rPr/>
      </w:pPr>
      <w:r>
        <w:rPr/>
        <w:t>Capitalize JV with initial working capital and trading capital</w:t>
      </w:r>
    </w:p>
    <w:p>
      <w:pPr>
        <w:pStyle w:val="Normal"/>
        <w:numPr>
          <w:ilvl w:val="0"/>
          <w:numId w:val="3"/>
        </w:numPr>
        <w:rPr/>
      </w:pPr>
      <w:r>
        <w:rPr/>
        <w:t>Conduct a technology review to determine if WRH’s auction technology and Enron’s market place technology can jointly or separately bring competitive advantage to the JV or to existing business lines.</w:t>
      </w:r>
    </w:p>
    <w:p>
      <w:pPr>
        <w:pStyle w:val="Normal"/>
        <w:rPr/>
      </w:pPr>
      <w:r>
        <w:rPr/>
      </w:r>
    </w:p>
    <w:p>
      <w:pPr>
        <w:pStyle w:val="Normal"/>
        <w:rPr>
          <w:sz w:val="28"/>
          <w:u w:val="single"/>
        </w:rPr>
      </w:pPr>
      <w:r>
        <w:rPr>
          <w:sz w:val="28"/>
          <w:u w:val="single"/>
        </w:rPr>
      </w:r>
    </w:p>
    <w:p>
      <w:pPr>
        <w:pStyle w:val="Heading3"/>
        <w:tabs>
          <w:tab w:val="clear" w:pos="6948"/>
        </w:tabs>
        <w:ind w:hanging="0" w:start="0"/>
        <w:rPr/>
      </w:pPr>
      <w:r>
        <w:rPr/>
        <w:t>Financial Model</w:t>
      </w:r>
    </w:p>
    <w:p>
      <w:pPr>
        <w:pStyle w:val="Normal"/>
        <w:rPr/>
      </w:pPr>
      <w:r>
        <w:rPr/>
      </w:r>
    </w:p>
    <w:p>
      <w:pPr>
        <w:pStyle w:val="Normal"/>
        <w:numPr>
          <w:ilvl w:val="0"/>
          <w:numId w:val="2"/>
        </w:numPr>
        <w:rPr/>
      </w:pPr>
      <w:r>
        <w:rPr/>
        <w:t>The capital component can be done in two ways: (1) Enron extends a credit line to the Joint Venture; WRH estimates that the Joint Venture should, at minimum, have $30MM of credit for intraday trading and $10MM available for overnight positions.  (2) Enron provides capital to the Joint Venture; this approach allows the Joint Venture to lever up its trading line by at least 3X.</w:t>
      </w:r>
    </w:p>
    <w:p>
      <w:pPr>
        <w:pStyle w:val="Normal"/>
        <w:numPr>
          <w:ilvl w:val="0"/>
          <w:numId w:val="2"/>
        </w:numPr>
        <w:rPr/>
      </w:pPr>
      <w:r>
        <w:rPr/>
        <w:t>The attached financial model takes approach (2) above and incorporates the following assumptions:</w:t>
      </w:r>
    </w:p>
    <w:p>
      <w:pPr>
        <w:pStyle w:val="Normal"/>
        <w:numPr>
          <w:ilvl w:val="1"/>
          <w:numId w:val="2"/>
        </w:numPr>
        <w:rPr/>
      </w:pPr>
      <w:r>
        <w:rPr/>
        <w:t xml:space="preserve">Enron will provide $35MM capital to support trading </w:t>
      </w:r>
    </w:p>
    <w:p>
      <w:pPr>
        <w:pStyle w:val="Normal"/>
        <w:numPr>
          <w:ilvl w:val="1"/>
          <w:numId w:val="2"/>
        </w:numPr>
        <w:rPr/>
      </w:pPr>
      <w:r>
        <w:rPr/>
        <w:t>A preferred return will be paid to Enron on this capital</w:t>
      </w:r>
    </w:p>
    <w:p>
      <w:pPr>
        <w:pStyle w:val="Normal"/>
        <w:numPr>
          <w:ilvl w:val="1"/>
          <w:numId w:val="2"/>
        </w:numPr>
        <w:rPr/>
      </w:pPr>
      <w:r>
        <w:rPr/>
        <w:t>Enron and WRH will jointly provide some initial working capital for the Joint Venture.</w:t>
      </w:r>
    </w:p>
    <w:p>
      <w:pPr>
        <w:pStyle w:val="Normal"/>
        <w:numPr>
          <w:ilvl w:val="1"/>
          <w:numId w:val="2"/>
        </w:numPr>
        <w:rPr/>
      </w:pPr>
      <w:r>
        <w:rPr/>
        <w:t>Proprietary trading profits, which are trading profits minus capital rent and expenses, will be split 50 (Enron) /50 (WRH).   Profits may be reinvested.</w:t>
      </w:r>
    </w:p>
    <w:p>
      <w:pPr>
        <w:pStyle w:val="Normal"/>
        <w:numPr>
          <w:ilvl w:val="1"/>
          <w:numId w:val="2"/>
        </w:numPr>
        <w:rPr/>
      </w:pPr>
      <w:r>
        <w:rPr/>
        <w:t>Details of expenses can be provided</w:t>
      </w:r>
    </w:p>
    <w:p>
      <w:pPr>
        <w:pStyle w:val="Normal"/>
        <w:rPr/>
      </w:pPr>
      <w:r>
        <w:rPr/>
      </w:r>
    </w:p>
    <w:p>
      <w:pPr>
        <w:pStyle w:val="Normal"/>
        <w:rPr/>
      </w:pPr>
      <w:r>
        <w:rPr/>
      </w:r>
    </w:p>
    <w:tbl>
      <w:tblPr>
        <w:tblW w:w="10054" w:type="dxa"/>
        <w:jc w:val="start"/>
        <w:tblInd w:w="0" w:type="dxa"/>
        <w:tblLayout w:type="fixed"/>
        <w:tblCellMar>
          <w:top w:w="15" w:type="dxa"/>
          <w:start w:w="15" w:type="dxa"/>
          <w:bottom w:w="0" w:type="dxa"/>
          <w:end w:w="15" w:type="dxa"/>
        </w:tblCellMar>
      </w:tblPr>
      <w:tblGrid>
        <w:gridCol w:w="3339"/>
        <w:gridCol w:w="255"/>
        <w:gridCol w:w="256"/>
        <w:gridCol w:w="238"/>
        <w:gridCol w:w="1543"/>
        <w:gridCol w:w="1543"/>
        <w:gridCol w:w="960"/>
        <w:gridCol w:w="960"/>
        <w:gridCol w:w="960"/>
      </w:tblGrid>
      <w:tr>
        <w:trPr>
          <w:trHeight w:val="255" w:hRule="atLeast"/>
        </w:trPr>
        <w:tc>
          <w:tcPr>
            <w:tcW w:w="7174" w:type="dxa"/>
            <w:gridSpan w:val="6"/>
            <w:tcBorders/>
            <w:vAlign w:val="bottom"/>
          </w:tcPr>
          <w:p>
            <w:pPr>
              <w:pStyle w:val="Normal"/>
              <w:rPr>
                <w:rFonts w:ascii="Arial" w:hAnsi="Arial" w:cs="Arial"/>
                <w:b/>
                <w:bCs/>
                <w:sz w:val="20"/>
              </w:rPr>
            </w:pPr>
            <w:r>
              <w:rPr>
                <w:rFonts w:cs="Arial" w:ascii="Arial" w:hAnsi="Arial"/>
                <w:b/>
                <w:bCs/>
                <w:sz w:val="20"/>
              </w:rPr>
              <w:t>Enron/WR Hambrecht Joint Venture Financial Model</w:t>
            </w:r>
          </w:p>
        </w:tc>
        <w:tc>
          <w:tcPr>
            <w:tcW w:w="960" w:type="dxa"/>
            <w:tcBorders/>
            <w:vAlign w:val="bottom"/>
          </w:tcPr>
          <w:p>
            <w:pPr>
              <w:pStyle w:val="Normal"/>
              <w:snapToGrid w:val="false"/>
              <w:rPr>
                <w:rFonts w:ascii="Arial" w:hAnsi="Arial" w:cs="Arial"/>
                <w:b/>
                <w:bCs/>
                <w:sz w:val="20"/>
              </w:rPr>
            </w:pPr>
            <w:r>
              <w:rPr>
                <w:rFonts w:cs="Arial" w:ascii="Arial" w:hAnsi="Arial"/>
                <w:b/>
                <w:bCs/>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3339" w:type="dxa"/>
            <w:tcBorders/>
            <w:vAlign w:val="bottom"/>
          </w:tcPr>
          <w:p>
            <w:pPr>
              <w:pStyle w:val="Normal"/>
              <w:snapToGrid w:val="false"/>
              <w:rPr>
                <w:rFonts w:ascii="Arial" w:hAnsi="Arial" w:cs="Arial"/>
                <w:sz w:val="20"/>
              </w:rPr>
            </w:pPr>
            <w:r>
              <w:rPr>
                <w:rFonts w:cs="Arial" w:ascii="Arial" w:hAnsi="Arial"/>
                <w:sz w:val="20"/>
              </w:rPr>
            </w:r>
          </w:p>
        </w:tc>
        <w:tc>
          <w:tcPr>
            <w:tcW w:w="255" w:type="dxa"/>
            <w:tcBorders/>
            <w:vAlign w:val="bottom"/>
          </w:tcPr>
          <w:p>
            <w:pPr>
              <w:pStyle w:val="Normal"/>
              <w:snapToGrid w:val="false"/>
              <w:rPr>
                <w:rFonts w:ascii="Arial" w:hAnsi="Arial" w:cs="Arial"/>
                <w:sz w:val="20"/>
              </w:rPr>
            </w:pPr>
            <w:r>
              <w:rPr>
                <w:rFonts w:cs="Arial" w:ascii="Arial" w:hAnsi="Arial"/>
                <w:sz w:val="20"/>
              </w:rPr>
            </w:r>
          </w:p>
        </w:tc>
        <w:tc>
          <w:tcPr>
            <w:tcW w:w="256" w:type="dxa"/>
            <w:tcBorders/>
            <w:vAlign w:val="bottom"/>
          </w:tcPr>
          <w:p>
            <w:pPr>
              <w:pStyle w:val="Normal"/>
              <w:snapToGrid w:val="false"/>
              <w:rPr>
                <w:rFonts w:ascii="Arial" w:hAnsi="Arial" w:cs="Arial"/>
                <w:sz w:val="20"/>
              </w:rPr>
            </w:pPr>
            <w:r>
              <w:rPr>
                <w:rFonts w:cs="Arial" w:ascii="Arial" w:hAnsi="Arial"/>
                <w:sz w:val="20"/>
              </w:rPr>
            </w:r>
          </w:p>
        </w:tc>
        <w:tc>
          <w:tcPr>
            <w:tcW w:w="238" w:type="dxa"/>
            <w:tcBorders/>
            <w:vAlign w:val="bottom"/>
          </w:tcPr>
          <w:p>
            <w:pPr>
              <w:pStyle w:val="Normal"/>
              <w:snapToGrid w:val="false"/>
              <w:rPr>
                <w:rFonts w:ascii="Arial" w:hAnsi="Arial" w:cs="Arial"/>
                <w:sz w:val="20"/>
              </w:rPr>
            </w:pPr>
            <w:r>
              <w:rPr>
                <w:rFonts w:cs="Arial" w:ascii="Arial" w:hAnsi="Arial"/>
                <w:sz w:val="20"/>
              </w:rPr>
            </w:r>
          </w:p>
        </w:tc>
        <w:tc>
          <w:tcPr>
            <w:tcW w:w="1543" w:type="dxa"/>
            <w:tcBorders/>
            <w:vAlign w:val="bottom"/>
          </w:tcPr>
          <w:p>
            <w:pPr>
              <w:pStyle w:val="Normal"/>
              <w:snapToGrid w:val="false"/>
              <w:rPr>
                <w:rFonts w:ascii="Arial" w:hAnsi="Arial" w:cs="Arial"/>
                <w:sz w:val="20"/>
              </w:rPr>
            </w:pPr>
            <w:r>
              <w:rPr>
                <w:rFonts w:cs="Arial" w:ascii="Arial" w:hAnsi="Arial"/>
                <w:sz w:val="20"/>
              </w:rPr>
            </w:r>
          </w:p>
        </w:tc>
        <w:tc>
          <w:tcPr>
            <w:tcW w:w="1543"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3594" w:type="dxa"/>
            <w:gridSpan w:val="2"/>
            <w:tcBorders/>
            <w:vAlign w:val="bottom"/>
          </w:tcPr>
          <w:p>
            <w:pPr>
              <w:pStyle w:val="Normal"/>
              <w:rPr>
                <w:rFonts w:ascii="Arial" w:hAnsi="Arial" w:cs="Arial"/>
                <w:b/>
                <w:bCs/>
                <w:sz w:val="20"/>
              </w:rPr>
            </w:pPr>
            <w:r>
              <w:rPr>
                <w:rFonts w:cs="Arial" w:ascii="Arial" w:hAnsi="Arial"/>
                <w:b/>
                <w:bCs/>
                <w:sz w:val="20"/>
              </w:rPr>
              <w:t>Assumptions:</w:t>
            </w:r>
          </w:p>
        </w:tc>
        <w:tc>
          <w:tcPr>
            <w:tcW w:w="256" w:type="dxa"/>
            <w:tcBorders/>
            <w:vAlign w:val="bottom"/>
          </w:tcPr>
          <w:p>
            <w:pPr>
              <w:pStyle w:val="Normal"/>
              <w:snapToGrid w:val="false"/>
              <w:rPr>
                <w:rFonts w:ascii="Arial" w:hAnsi="Arial" w:cs="Arial"/>
                <w:b/>
                <w:bCs/>
                <w:sz w:val="20"/>
              </w:rPr>
            </w:pPr>
            <w:r>
              <w:rPr>
                <w:rFonts w:cs="Arial" w:ascii="Arial" w:hAnsi="Arial"/>
                <w:b/>
                <w:bCs/>
                <w:sz w:val="20"/>
              </w:rPr>
            </w:r>
          </w:p>
        </w:tc>
        <w:tc>
          <w:tcPr>
            <w:tcW w:w="238" w:type="dxa"/>
            <w:tcBorders/>
            <w:vAlign w:val="bottom"/>
          </w:tcPr>
          <w:p>
            <w:pPr>
              <w:pStyle w:val="Normal"/>
              <w:snapToGrid w:val="false"/>
              <w:rPr>
                <w:rFonts w:ascii="Arial" w:hAnsi="Arial" w:cs="Arial"/>
                <w:sz w:val="20"/>
              </w:rPr>
            </w:pPr>
            <w:r>
              <w:rPr>
                <w:rFonts w:cs="Arial" w:ascii="Arial" w:hAnsi="Arial"/>
                <w:sz w:val="20"/>
              </w:rPr>
            </w:r>
          </w:p>
        </w:tc>
        <w:tc>
          <w:tcPr>
            <w:tcW w:w="1543" w:type="dxa"/>
            <w:tcBorders/>
            <w:vAlign w:val="bottom"/>
          </w:tcPr>
          <w:p>
            <w:pPr>
              <w:pStyle w:val="Normal"/>
              <w:snapToGrid w:val="false"/>
              <w:rPr>
                <w:rFonts w:ascii="Arial" w:hAnsi="Arial" w:cs="Arial"/>
                <w:sz w:val="20"/>
              </w:rPr>
            </w:pPr>
            <w:r>
              <w:rPr>
                <w:rFonts w:cs="Arial" w:ascii="Arial" w:hAnsi="Arial"/>
                <w:sz w:val="20"/>
              </w:rPr>
            </w:r>
          </w:p>
        </w:tc>
        <w:tc>
          <w:tcPr>
            <w:tcW w:w="1543"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3339" w:type="dxa"/>
            <w:tcBorders/>
            <w:vAlign w:val="bottom"/>
          </w:tcPr>
          <w:p>
            <w:pPr>
              <w:pStyle w:val="Normal"/>
              <w:snapToGrid w:val="false"/>
              <w:rPr>
                <w:rFonts w:ascii="Arial" w:hAnsi="Arial" w:cs="Arial"/>
                <w:sz w:val="20"/>
              </w:rPr>
            </w:pPr>
            <w:r>
              <w:rPr>
                <w:rFonts w:cs="Arial" w:ascii="Arial" w:hAnsi="Arial"/>
                <w:sz w:val="20"/>
              </w:rPr>
            </w:r>
          </w:p>
        </w:tc>
        <w:tc>
          <w:tcPr>
            <w:tcW w:w="255" w:type="dxa"/>
            <w:tcBorders/>
            <w:vAlign w:val="bottom"/>
          </w:tcPr>
          <w:p>
            <w:pPr>
              <w:pStyle w:val="Normal"/>
              <w:snapToGrid w:val="false"/>
              <w:rPr>
                <w:rFonts w:ascii="Arial" w:hAnsi="Arial" w:cs="Arial"/>
                <w:sz w:val="20"/>
              </w:rPr>
            </w:pPr>
            <w:r>
              <w:rPr>
                <w:rFonts w:cs="Arial" w:ascii="Arial" w:hAnsi="Arial"/>
                <w:sz w:val="20"/>
              </w:rPr>
            </w:r>
          </w:p>
        </w:tc>
        <w:tc>
          <w:tcPr>
            <w:tcW w:w="256" w:type="dxa"/>
            <w:tcBorders/>
            <w:vAlign w:val="bottom"/>
          </w:tcPr>
          <w:p>
            <w:pPr>
              <w:pStyle w:val="Normal"/>
              <w:snapToGrid w:val="false"/>
              <w:rPr>
                <w:rFonts w:ascii="Arial" w:hAnsi="Arial" w:cs="Arial"/>
                <w:sz w:val="20"/>
              </w:rPr>
            </w:pPr>
            <w:r>
              <w:rPr>
                <w:rFonts w:cs="Arial" w:ascii="Arial" w:hAnsi="Arial"/>
                <w:sz w:val="20"/>
              </w:rPr>
            </w:r>
          </w:p>
        </w:tc>
        <w:tc>
          <w:tcPr>
            <w:tcW w:w="238" w:type="dxa"/>
            <w:tcBorders/>
            <w:vAlign w:val="bottom"/>
          </w:tcPr>
          <w:p>
            <w:pPr>
              <w:pStyle w:val="Normal"/>
              <w:snapToGrid w:val="false"/>
              <w:rPr>
                <w:rFonts w:ascii="Arial" w:hAnsi="Arial" w:cs="Arial"/>
                <w:sz w:val="20"/>
              </w:rPr>
            </w:pPr>
            <w:r>
              <w:rPr>
                <w:rFonts w:cs="Arial" w:ascii="Arial" w:hAnsi="Arial"/>
                <w:sz w:val="20"/>
              </w:rPr>
            </w:r>
          </w:p>
        </w:tc>
        <w:tc>
          <w:tcPr>
            <w:tcW w:w="1543" w:type="dxa"/>
            <w:tcBorders/>
            <w:vAlign w:val="bottom"/>
          </w:tcPr>
          <w:p>
            <w:pPr>
              <w:pStyle w:val="Normal"/>
              <w:snapToGrid w:val="false"/>
              <w:rPr>
                <w:rFonts w:ascii="Arial" w:hAnsi="Arial" w:cs="Arial"/>
                <w:sz w:val="20"/>
              </w:rPr>
            </w:pPr>
            <w:r>
              <w:rPr>
                <w:rFonts w:cs="Arial" w:ascii="Arial" w:hAnsi="Arial"/>
                <w:sz w:val="20"/>
              </w:rPr>
            </w:r>
          </w:p>
        </w:tc>
        <w:tc>
          <w:tcPr>
            <w:tcW w:w="1543"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3850" w:type="dxa"/>
            <w:gridSpan w:val="3"/>
            <w:tcBorders/>
            <w:vAlign w:val="bottom"/>
          </w:tcPr>
          <w:p>
            <w:pPr>
              <w:pStyle w:val="Normal"/>
              <w:rPr>
                <w:rFonts w:ascii="Arial" w:hAnsi="Arial" w:cs="Arial"/>
                <w:sz w:val="20"/>
              </w:rPr>
            </w:pPr>
            <w:r>
              <w:rPr>
                <w:rFonts w:cs="Arial" w:ascii="Arial" w:hAnsi="Arial"/>
                <w:sz w:val="20"/>
              </w:rPr>
              <w:t>Enron Committed Capital ($MM)</w:t>
            </w:r>
          </w:p>
        </w:tc>
        <w:tc>
          <w:tcPr>
            <w:tcW w:w="238" w:type="dxa"/>
            <w:tcBorders/>
            <w:vAlign w:val="bottom"/>
          </w:tcPr>
          <w:p>
            <w:pPr>
              <w:pStyle w:val="Normal"/>
              <w:snapToGrid w:val="false"/>
              <w:rPr>
                <w:rFonts w:ascii="Arial" w:hAnsi="Arial" w:cs="Arial"/>
                <w:sz w:val="20"/>
              </w:rPr>
            </w:pPr>
            <w:r>
              <w:rPr>
                <w:rFonts w:cs="Arial" w:ascii="Arial" w:hAnsi="Arial"/>
                <w:sz w:val="20"/>
              </w:rPr>
            </w:r>
          </w:p>
        </w:tc>
        <w:tc>
          <w:tcPr>
            <w:tcW w:w="1543" w:type="dxa"/>
            <w:tcBorders/>
            <w:vAlign w:val="bottom"/>
          </w:tcPr>
          <w:p>
            <w:pPr>
              <w:pStyle w:val="Normal"/>
              <w:jc w:val="end"/>
              <w:rPr>
                <w:rFonts w:ascii="Arial" w:hAnsi="Arial" w:cs="Arial"/>
                <w:sz w:val="20"/>
              </w:rPr>
            </w:pPr>
            <w:r>
              <w:rPr>
                <w:rFonts w:cs="Arial" w:ascii="Arial" w:hAnsi="Arial"/>
                <w:sz w:val="20"/>
              </w:rPr>
              <w:t>35</w:t>
            </w:r>
          </w:p>
        </w:tc>
        <w:tc>
          <w:tcPr>
            <w:tcW w:w="1543"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3850" w:type="dxa"/>
            <w:gridSpan w:val="3"/>
            <w:tcBorders/>
            <w:vAlign w:val="bottom"/>
          </w:tcPr>
          <w:p>
            <w:pPr>
              <w:pStyle w:val="Normal"/>
              <w:rPr>
                <w:rFonts w:ascii="Arial" w:hAnsi="Arial" w:cs="Arial"/>
                <w:sz w:val="20"/>
              </w:rPr>
            </w:pPr>
            <w:r>
              <w:rPr>
                <w:rFonts w:cs="Arial" w:ascii="Arial" w:hAnsi="Arial"/>
                <w:sz w:val="20"/>
              </w:rPr>
              <w:t>Enron Share of JV P/L</w:t>
            </w:r>
          </w:p>
        </w:tc>
        <w:tc>
          <w:tcPr>
            <w:tcW w:w="238" w:type="dxa"/>
            <w:tcBorders/>
            <w:vAlign w:val="bottom"/>
          </w:tcPr>
          <w:p>
            <w:pPr>
              <w:pStyle w:val="Normal"/>
              <w:snapToGrid w:val="false"/>
              <w:rPr>
                <w:rFonts w:ascii="Arial" w:hAnsi="Arial" w:cs="Arial"/>
                <w:sz w:val="20"/>
              </w:rPr>
            </w:pPr>
            <w:r>
              <w:rPr>
                <w:rFonts w:cs="Arial" w:ascii="Arial" w:hAnsi="Arial"/>
                <w:sz w:val="20"/>
              </w:rPr>
            </w:r>
          </w:p>
        </w:tc>
        <w:tc>
          <w:tcPr>
            <w:tcW w:w="1543" w:type="dxa"/>
            <w:tcBorders/>
            <w:vAlign w:val="bottom"/>
          </w:tcPr>
          <w:p>
            <w:pPr>
              <w:pStyle w:val="Normal"/>
              <w:jc w:val="end"/>
              <w:rPr>
                <w:rFonts w:ascii="Arial" w:hAnsi="Arial" w:cs="Arial"/>
                <w:sz w:val="20"/>
              </w:rPr>
            </w:pPr>
            <w:r>
              <w:rPr>
                <w:rFonts w:cs="Arial" w:ascii="Arial" w:hAnsi="Arial"/>
                <w:sz w:val="20"/>
              </w:rPr>
              <w:t>50%</w:t>
            </w:r>
          </w:p>
        </w:tc>
        <w:tc>
          <w:tcPr>
            <w:tcW w:w="1543"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3850" w:type="dxa"/>
            <w:gridSpan w:val="3"/>
            <w:tcBorders/>
            <w:vAlign w:val="bottom"/>
          </w:tcPr>
          <w:p>
            <w:pPr>
              <w:pStyle w:val="Normal"/>
              <w:rPr>
                <w:rFonts w:ascii="Arial" w:hAnsi="Arial" w:cs="Arial"/>
                <w:sz w:val="20"/>
              </w:rPr>
            </w:pPr>
            <w:r>
              <w:rPr>
                <w:rFonts w:cs="Arial" w:ascii="Arial" w:hAnsi="Arial"/>
                <w:sz w:val="20"/>
              </w:rPr>
              <w:t>WRH Share of JV P/L</w:t>
            </w:r>
          </w:p>
        </w:tc>
        <w:tc>
          <w:tcPr>
            <w:tcW w:w="238" w:type="dxa"/>
            <w:tcBorders/>
            <w:vAlign w:val="bottom"/>
          </w:tcPr>
          <w:p>
            <w:pPr>
              <w:pStyle w:val="Normal"/>
              <w:snapToGrid w:val="false"/>
              <w:rPr>
                <w:rFonts w:ascii="Arial" w:hAnsi="Arial" w:cs="Arial"/>
                <w:sz w:val="20"/>
              </w:rPr>
            </w:pPr>
            <w:r>
              <w:rPr>
                <w:rFonts w:cs="Arial" w:ascii="Arial" w:hAnsi="Arial"/>
                <w:sz w:val="20"/>
              </w:rPr>
            </w:r>
          </w:p>
        </w:tc>
        <w:tc>
          <w:tcPr>
            <w:tcW w:w="1543" w:type="dxa"/>
            <w:tcBorders/>
            <w:vAlign w:val="bottom"/>
          </w:tcPr>
          <w:p>
            <w:pPr>
              <w:pStyle w:val="Normal"/>
              <w:jc w:val="end"/>
              <w:rPr>
                <w:rFonts w:ascii="Arial" w:hAnsi="Arial" w:cs="Arial"/>
                <w:sz w:val="20"/>
              </w:rPr>
            </w:pPr>
            <w:r>
              <w:rPr>
                <w:rFonts w:cs="Arial" w:ascii="Arial" w:hAnsi="Arial"/>
                <w:sz w:val="20"/>
              </w:rPr>
              <w:t>50%</w:t>
            </w:r>
          </w:p>
        </w:tc>
        <w:tc>
          <w:tcPr>
            <w:tcW w:w="1543"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4088" w:type="dxa"/>
            <w:gridSpan w:val="4"/>
            <w:tcBorders/>
            <w:vAlign w:val="bottom"/>
          </w:tcPr>
          <w:p>
            <w:pPr>
              <w:pStyle w:val="Normal"/>
              <w:rPr>
                <w:rFonts w:ascii="Arial" w:hAnsi="Arial" w:cs="Arial"/>
                <w:sz w:val="20"/>
              </w:rPr>
            </w:pPr>
            <w:r>
              <w:rPr>
                <w:rFonts w:cs="Arial" w:ascii="Arial" w:hAnsi="Arial"/>
                <w:sz w:val="20"/>
              </w:rPr>
              <w:t>Preferred Return on Committed Capital</w:t>
            </w:r>
          </w:p>
        </w:tc>
        <w:tc>
          <w:tcPr>
            <w:tcW w:w="1543" w:type="dxa"/>
            <w:tcBorders/>
            <w:vAlign w:val="bottom"/>
          </w:tcPr>
          <w:p>
            <w:pPr>
              <w:pStyle w:val="Normal"/>
              <w:jc w:val="end"/>
              <w:rPr>
                <w:rFonts w:ascii="Arial" w:hAnsi="Arial" w:cs="Arial"/>
                <w:sz w:val="20"/>
              </w:rPr>
            </w:pPr>
            <w:r>
              <w:rPr>
                <w:rFonts w:cs="Arial" w:ascii="Arial" w:hAnsi="Arial"/>
                <w:sz w:val="20"/>
              </w:rPr>
              <w:t>7%</w:t>
            </w:r>
          </w:p>
        </w:tc>
        <w:tc>
          <w:tcPr>
            <w:tcW w:w="4423" w:type="dxa"/>
            <w:gridSpan w:val="4"/>
            <w:tcBorders/>
            <w:vAlign w:val="bottom"/>
          </w:tcPr>
          <w:p>
            <w:pPr>
              <w:pStyle w:val="Normal"/>
              <w:rPr>
                <w:rFonts w:ascii="Arial" w:hAnsi="Arial" w:cs="Arial"/>
                <w:sz w:val="20"/>
              </w:rPr>
            </w:pPr>
            <w:r>
              <w:rPr>
                <w:rFonts w:cs="Arial" w:ascii="Arial" w:hAnsi="Arial"/>
                <w:sz w:val="20"/>
              </w:rPr>
              <w:t>Note: Based on 1-yr T-Bill rate + 2%</w:t>
            </w:r>
          </w:p>
        </w:tc>
      </w:tr>
      <w:tr>
        <w:trPr>
          <w:trHeight w:val="255" w:hRule="atLeast"/>
        </w:trPr>
        <w:tc>
          <w:tcPr>
            <w:tcW w:w="4088" w:type="dxa"/>
            <w:gridSpan w:val="4"/>
            <w:tcBorders/>
            <w:vAlign w:val="bottom"/>
          </w:tcPr>
          <w:p>
            <w:pPr>
              <w:pStyle w:val="Normal"/>
              <w:rPr>
                <w:rFonts w:ascii="Arial" w:hAnsi="Arial" w:cs="Arial"/>
                <w:sz w:val="20"/>
              </w:rPr>
            </w:pPr>
            <w:r>
              <w:rPr>
                <w:rFonts w:cs="Arial" w:ascii="Arial" w:hAnsi="Arial"/>
                <w:sz w:val="20"/>
              </w:rPr>
              <w:t>Estimated Expenses(% of Committed Capital)</w:t>
            </w:r>
          </w:p>
        </w:tc>
        <w:tc>
          <w:tcPr>
            <w:tcW w:w="1543" w:type="dxa"/>
            <w:tcBorders/>
            <w:vAlign w:val="bottom"/>
          </w:tcPr>
          <w:p>
            <w:pPr>
              <w:pStyle w:val="Normal"/>
              <w:jc w:val="end"/>
              <w:rPr>
                <w:rFonts w:ascii="Arial" w:hAnsi="Arial" w:cs="Arial"/>
                <w:sz w:val="20"/>
              </w:rPr>
            </w:pPr>
            <w:r>
              <w:rPr>
                <w:rFonts w:cs="Arial" w:ascii="Arial" w:hAnsi="Arial"/>
                <w:sz w:val="20"/>
              </w:rPr>
              <w:t>4%</w:t>
            </w:r>
          </w:p>
        </w:tc>
        <w:tc>
          <w:tcPr>
            <w:tcW w:w="4423" w:type="dxa"/>
            <w:gridSpan w:val="4"/>
            <w:tcBorders/>
            <w:vAlign w:val="bottom"/>
          </w:tcPr>
          <w:p>
            <w:pPr>
              <w:pStyle w:val="Normal"/>
              <w:rPr>
                <w:rFonts w:ascii="Arial" w:hAnsi="Arial" w:cs="Arial"/>
                <w:sz w:val="20"/>
              </w:rPr>
            </w:pPr>
            <w:r>
              <w:rPr>
                <w:rFonts w:cs="Arial" w:ascii="Arial" w:hAnsi="Arial"/>
                <w:sz w:val="20"/>
              </w:rPr>
              <w:t>Note: Based on WRH Internal Model</w:t>
            </w:r>
          </w:p>
        </w:tc>
      </w:tr>
      <w:tr>
        <w:trPr>
          <w:trHeight w:val="255" w:hRule="atLeast"/>
        </w:trPr>
        <w:tc>
          <w:tcPr>
            <w:tcW w:w="3339" w:type="dxa"/>
            <w:tcBorders/>
            <w:vAlign w:val="bottom"/>
          </w:tcPr>
          <w:p>
            <w:pPr>
              <w:pStyle w:val="Normal"/>
              <w:snapToGrid w:val="false"/>
              <w:rPr>
                <w:rFonts w:ascii="Arial" w:hAnsi="Arial" w:cs="Arial"/>
                <w:sz w:val="20"/>
              </w:rPr>
            </w:pPr>
            <w:r>
              <w:rPr>
                <w:rFonts w:cs="Arial" w:ascii="Arial" w:hAnsi="Arial"/>
                <w:sz w:val="20"/>
              </w:rPr>
            </w:r>
          </w:p>
        </w:tc>
        <w:tc>
          <w:tcPr>
            <w:tcW w:w="255" w:type="dxa"/>
            <w:tcBorders/>
            <w:vAlign w:val="bottom"/>
          </w:tcPr>
          <w:p>
            <w:pPr>
              <w:pStyle w:val="Normal"/>
              <w:snapToGrid w:val="false"/>
              <w:rPr>
                <w:rFonts w:ascii="Arial" w:hAnsi="Arial" w:cs="Arial"/>
                <w:sz w:val="20"/>
              </w:rPr>
            </w:pPr>
            <w:r>
              <w:rPr>
                <w:rFonts w:cs="Arial" w:ascii="Arial" w:hAnsi="Arial"/>
                <w:sz w:val="20"/>
              </w:rPr>
            </w:r>
          </w:p>
        </w:tc>
        <w:tc>
          <w:tcPr>
            <w:tcW w:w="256" w:type="dxa"/>
            <w:tcBorders/>
            <w:vAlign w:val="bottom"/>
          </w:tcPr>
          <w:p>
            <w:pPr>
              <w:pStyle w:val="Normal"/>
              <w:snapToGrid w:val="false"/>
              <w:rPr>
                <w:rFonts w:ascii="Arial" w:hAnsi="Arial" w:cs="Arial"/>
                <w:sz w:val="20"/>
              </w:rPr>
            </w:pPr>
            <w:r>
              <w:rPr>
                <w:rFonts w:cs="Arial" w:ascii="Arial" w:hAnsi="Arial"/>
                <w:sz w:val="20"/>
              </w:rPr>
            </w:r>
          </w:p>
        </w:tc>
        <w:tc>
          <w:tcPr>
            <w:tcW w:w="238" w:type="dxa"/>
            <w:tcBorders/>
            <w:vAlign w:val="bottom"/>
          </w:tcPr>
          <w:p>
            <w:pPr>
              <w:pStyle w:val="Normal"/>
              <w:snapToGrid w:val="false"/>
              <w:rPr>
                <w:rFonts w:ascii="Arial" w:hAnsi="Arial" w:cs="Arial"/>
                <w:sz w:val="20"/>
              </w:rPr>
            </w:pPr>
            <w:r>
              <w:rPr>
                <w:rFonts w:cs="Arial" w:ascii="Arial" w:hAnsi="Arial"/>
                <w:sz w:val="20"/>
              </w:rPr>
            </w:r>
          </w:p>
        </w:tc>
        <w:tc>
          <w:tcPr>
            <w:tcW w:w="1543" w:type="dxa"/>
            <w:tcBorders/>
            <w:vAlign w:val="bottom"/>
          </w:tcPr>
          <w:p>
            <w:pPr>
              <w:pStyle w:val="Normal"/>
              <w:snapToGrid w:val="false"/>
              <w:rPr>
                <w:rFonts w:ascii="Arial" w:hAnsi="Arial" w:cs="Arial"/>
                <w:sz w:val="20"/>
              </w:rPr>
            </w:pPr>
            <w:r>
              <w:rPr>
                <w:rFonts w:cs="Arial" w:ascii="Arial" w:hAnsi="Arial"/>
                <w:sz w:val="20"/>
              </w:rPr>
            </w:r>
          </w:p>
        </w:tc>
        <w:tc>
          <w:tcPr>
            <w:tcW w:w="1543"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3339" w:type="dxa"/>
            <w:tcBorders/>
            <w:vAlign w:val="bottom"/>
          </w:tcPr>
          <w:p>
            <w:pPr>
              <w:pStyle w:val="Normal"/>
              <w:rPr>
                <w:rFonts w:ascii="Arial" w:hAnsi="Arial" w:cs="Arial"/>
                <w:b/>
                <w:bCs/>
                <w:sz w:val="20"/>
              </w:rPr>
            </w:pPr>
            <w:r>
              <w:rPr>
                <w:rFonts w:cs="Arial" w:ascii="Arial" w:hAnsi="Arial"/>
                <w:b/>
                <w:bCs/>
                <w:sz w:val="20"/>
              </w:rPr>
              <w:t xml:space="preserve">Notes: </w:t>
            </w:r>
          </w:p>
        </w:tc>
        <w:tc>
          <w:tcPr>
            <w:tcW w:w="255" w:type="dxa"/>
            <w:tcBorders/>
            <w:vAlign w:val="bottom"/>
          </w:tcPr>
          <w:p>
            <w:pPr>
              <w:pStyle w:val="Normal"/>
              <w:snapToGrid w:val="false"/>
              <w:rPr>
                <w:rFonts w:ascii="Arial" w:hAnsi="Arial" w:cs="Arial"/>
                <w:b/>
                <w:bCs/>
                <w:sz w:val="20"/>
              </w:rPr>
            </w:pPr>
            <w:r>
              <w:rPr>
                <w:rFonts w:cs="Arial" w:ascii="Arial" w:hAnsi="Arial"/>
                <w:b/>
                <w:bCs/>
                <w:sz w:val="20"/>
              </w:rPr>
            </w:r>
          </w:p>
        </w:tc>
        <w:tc>
          <w:tcPr>
            <w:tcW w:w="256" w:type="dxa"/>
            <w:tcBorders/>
            <w:vAlign w:val="bottom"/>
          </w:tcPr>
          <w:p>
            <w:pPr>
              <w:pStyle w:val="Normal"/>
              <w:snapToGrid w:val="false"/>
              <w:rPr>
                <w:rFonts w:ascii="Arial" w:hAnsi="Arial" w:cs="Arial"/>
                <w:sz w:val="20"/>
              </w:rPr>
            </w:pPr>
            <w:r>
              <w:rPr>
                <w:rFonts w:cs="Arial" w:ascii="Arial" w:hAnsi="Arial"/>
                <w:sz w:val="20"/>
              </w:rPr>
            </w:r>
          </w:p>
        </w:tc>
        <w:tc>
          <w:tcPr>
            <w:tcW w:w="238" w:type="dxa"/>
            <w:tcBorders/>
            <w:vAlign w:val="bottom"/>
          </w:tcPr>
          <w:p>
            <w:pPr>
              <w:pStyle w:val="Normal"/>
              <w:snapToGrid w:val="false"/>
              <w:rPr>
                <w:rFonts w:ascii="Arial" w:hAnsi="Arial" w:cs="Arial"/>
                <w:sz w:val="20"/>
              </w:rPr>
            </w:pPr>
            <w:r>
              <w:rPr>
                <w:rFonts w:cs="Arial" w:ascii="Arial" w:hAnsi="Arial"/>
                <w:sz w:val="20"/>
              </w:rPr>
            </w:r>
          </w:p>
        </w:tc>
        <w:tc>
          <w:tcPr>
            <w:tcW w:w="1543" w:type="dxa"/>
            <w:tcBorders/>
            <w:vAlign w:val="bottom"/>
          </w:tcPr>
          <w:p>
            <w:pPr>
              <w:pStyle w:val="Normal"/>
              <w:snapToGrid w:val="false"/>
              <w:rPr>
                <w:rFonts w:ascii="Arial" w:hAnsi="Arial" w:cs="Arial"/>
                <w:sz w:val="20"/>
              </w:rPr>
            </w:pPr>
            <w:r>
              <w:rPr>
                <w:rFonts w:cs="Arial" w:ascii="Arial" w:hAnsi="Arial"/>
                <w:sz w:val="20"/>
              </w:rPr>
            </w:r>
          </w:p>
        </w:tc>
        <w:tc>
          <w:tcPr>
            <w:tcW w:w="1543"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9094" w:type="dxa"/>
            <w:gridSpan w:val="8"/>
            <w:tcBorders/>
            <w:vAlign w:val="bottom"/>
          </w:tcPr>
          <w:p>
            <w:pPr>
              <w:pStyle w:val="Normal"/>
              <w:rPr>
                <w:rFonts w:ascii="Arial" w:hAnsi="Arial" w:cs="Arial"/>
                <w:sz w:val="20"/>
              </w:rPr>
            </w:pPr>
            <w:r>
              <w:rPr>
                <w:rFonts w:cs="Arial" w:ascii="Arial" w:hAnsi="Arial"/>
                <w:sz w:val="20"/>
              </w:rPr>
              <w:t>Gross Profit assumes that gains after expenses and interest are reinvested quarterly.</w:t>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5631" w:type="dxa"/>
            <w:gridSpan w:val="5"/>
            <w:tcBorders/>
            <w:vAlign w:val="bottom"/>
          </w:tcPr>
          <w:p>
            <w:pPr>
              <w:pStyle w:val="Normal"/>
              <w:rPr>
                <w:rFonts w:ascii="Arial" w:hAnsi="Arial" w:cs="Arial"/>
                <w:sz w:val="20"/>
              </w:rPr>
            </w:pPr>
            <w:r>
              <w:rPr>
                <w:rFonts w:cs="Arial" w:ascii="Arial" w:hAnsi="Arial"/>
                <w:sz w:val="20"/>
              </w:rPr>
              <w:t>Enron and WRH will provide initial operating capital.</w:t>
            </w:r>
          </w:p>
        </w:tc>
        <w:tc>
          <w:tcPr>
            <w:tcW w:w="1543"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3339" w:type="dxa"/>
            <w:tcBorders/>
            <w:vAlign w:val="bottom"/>
          </w:tcPr>
          <w:p>
            <w:pPr>
              <w:pStyle w:val="Normal"/>
              <w:snapToGrid w:val="false"/>
              <w:rPr>
                <w:rFonts w:ascii="Arial" w:hAnsi="Arial" w:cs="Arial"/>
                <w:sz w:val="20"/>
              </w:rPr>
            </w:pPr>
            <w:r>
              <w:rPr>
                <w:rFonts w:cs="Arial" w:ascii="Arial" w:hAnsi="Arial"/>
                <w:sz w:val="20"/>
              </w:rPr>
            </w:r>
          </w:p>
        </w:tc>
        <w:tc>
          <w:tcPr>
            <w:tcW w:w="255" w:type="dxa"/>
            <w:tcBorders/>
            <w:vAlign w:val="bottom"/>
          </w:tcPr>
          <w:p>
            <w:pPr>
              <w:pStyle w:val="Normal"/>
              <w:snapToGrid w:val="false"/>
              <w:rPr>
                <w:rFonts w:ascii="Arial" w:hAnsi="Arial" w:cs="Arial"/>
                <w:sz w:val="20"/>
              </w:rPr>
            </w:pPr>
            <w:r>
              <w:rPr>
                <w:rFonts w:cs="Arial" w:ascii="Arial" w:hAnsi="Arial"/>
                <w:sz w:val="20"/>
              </w:rPr>
            </w:r>
          </w:p>
        </w:tc>
        <w:tc>
          <w:tcPr>
            <w:tcW w:w="256" w:type="dxa"/>
            <w:tcBorders/>
            <w:vAlign w:val="bottom"/>
          </w:tcPr>
          <w:p>
            <w:pPr>
              <w:pStyle w:val="Normal"/>
              <w:snapToGrid w:val="false"/>
              <w:rPr>
                <w:rFonts w:ascii="Arial" w:hAnsi="Arial" w:cs="Arial"/>
                <w:sz w:val="20"/>
              </w:rPr>
            </w:pPr>
            <w:r>
              <w:rPr>
                <w:rFonts w:cs="Arial" w:ascii="Arial" w:hAnsi="Arial"/>
                <w:sz w:val="20"/>
              </w:rPr>
            </w:r>
          </w:p>
        </w:tc>
        <w:tc>
          <w:tcPr>
            <w:tcW w:w="238" w:type="dxa"/>
            <w:tcBorders/>
            <w:vAlign w:val="bottom"/>
          </w:tcPr>
          <w:p>
            <w:pPr>
              <w:pStyle w:val="Normal"/>
              <w:snapToGrid w:val="false"/>
              <w:rPr>
                <w:rFonts w:ascii="Arial" w:hAnsi="Arial" w:cs="Arial"/>
                <w:sz w:val="20"/>
              </w:rPr>
            </w:pPr>
            <w:r>
              <w:rPr>
                <w:rFonts w:cs="Arial" w:ascii="Arial" w:hAnsi="Arial"/>
                <w:sz w:val="20"/>
              </w:rPr>
            </w:r>
          </w:p>
        </w:tc>
        <w:tc>
          <w:tcPr>
            <w:tcW w:w="1543" w:type="dxa"/>
            <w:tcBorders/>
            <w:vAlign w:val="bottom"/>
          </w:tcPr>
          <w:p>
            <w:pPr>
              <w:pStyle w:val="Normal"/>
              <w:snapToGrid w:val="false"/>
              <w:rPr>
                <w:rFonts w:ascii="Arial" w:hAnsi="Arial" w:cs="Arial"/>
                <w:sz w:val="20"/>
              </w:rPr>
            </w:pPr>
            <w:r>
              <w:rPr>
                <w:rFonts w:cs="Arial" w:ascii="Arial" w:hAnsi="Arial"/>
                <w:sz w:val="20"/>
              </w:rPr>
            </w:r>
          </w:p>
        </w:tc>
        <w:tc>
          <w:tcPr>
            <w:tcW w:w="1543"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c>
          <w:tcPr>
            <w:tcW w:w="96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3850" w:type="dxa"/>
            <w:gridSpan w:val="3"/>
            <w:tcBorders/>
            <w:vAlign w:val="bottom"/>
          </w:tcPr>
          <w:p>
            <w:pPr>
              <w:pStyle w:val="Normal"/>
              <w:rPr>
                <w:rFonts w:ascii="Arial" w:hAnsi="Arial" w:cs="Arial"/>
                <w:b/>
                <w:bCs/>
                <w:sz w:val="20"/>
              </w:rPr>
            </w:pPr>
            <w:r>
              <w:rPr>
                <w:rFonts w:cs="Arial" w:ascii="Arial" w:hAnsi="Arial"/>
                <w:b/>
                <w:bCs/>
                <w:sz w:val="20"/>
              </w:rPr>
              <w:t xml:space="preserve">Return on Committed Capital </w:t>
            </w:r>
          </w:p>
        </w:tc>
        <w:tc>
          <w:tcPr>
            <w:tcW w:w="238" w:type="dxa"/>
            <w:tcBorders/>
            <w:vAlign w:val="bottom"/>
          </w:tcPr>
          <w:p>
            <w:pPr>
              <w:pStyle w:val="Normal"/>
              <w:snapToGrid w:val="false"/>
              <w:rPr>
                <w:rFonts w:ascii="Arial" w:hAnsi="Arial" w:cs="Arial"/>
                <w:b/>
                <w:bCs/>
                <w:sz w:val="20"/>
              </w:rPr>
            </w:pPr>
            <w:r>
              <w:rPr>
                <w:rFonts w:cs="Arial" w:ascii="Arial" w:hAnsi="Arial"/>
                <w:b/>
                <w:bCs/>
                <w:sz w:val="20"/>
              </w:rPr>
            </w:r>
          </w:p>
        </w:tc>
        <w:tc>
          <w:tcPr>
            <w:tcW w:w="1543" w:type="dxa"/>
            <w:tcBorders/>
            <w:vAlign w:val="bottom"/>
          </w:tcPr>
          <w:p>
            <w:pPr>
              <w:pStyle w:val="Normal"/>
              <w:snapToGrid w:val="false"/>
              <w:rPr>
                <w:rFonts w:ascii="Arial" w:hAnsi="Arial" w:cs="Arial"/>
                <w:sz w:val="20"/>
              </w:rPr>
            </w:pPr>
            <w:r>
              <w:rPr>
                <w:rFonts w:cs="Arial" w:ascii="Arial" w:hAnsi="Arial"/>
                <w:sz w:val="20"/>
              </w:rPr>
            </w:r>
          </w:p>
        </w:tc>
        <w:tc>
          <w:tcPr>
            <w:tcW w:w="1543" w:type="dxa"/>
            <w:tcBorders/>
            <w:vAlign w:val="bottom"/>
          </w:tcPr>
          <w:p>
            <w:pPr>
              <w:pStyle w:val="Normal"/>
              <w:jc w:val="end"/>
              <w:rPr>
                <w:rFonts w:ascii="Arial" w:hAnsi="Arial" w:cs="Arial"/>
                <w:b/>
                <w:bCs/>
                <w:sz w:val="20"/>
              </w:rPr>
            </w:pPr>
            <w:r>
              <w:rPr>
                <w:rFonts w:cs="Arial" w:ascii="Arial" w:hAnsi="Arial"/>
                <w:b/>
                <w:bCs/>
                <w:sz w:val="20"/>
              </w:rPr>
              <w:t>25%</w:t>
            </w:r>
          </w:p>
        </w:tc>
        <w:tc>
          <w:tcPr>
            <w:tcW w:w="960" w:type="dxa"/>
            <w:tcBorders/>
            <w:vAlign w:val="bottom"/>
          </w:tcPr>
          <w:p>
            <w:pPr>
              <w:pStyle w:val="Normal"/>
              <w:jc w:val="end"/>
              <w:rPr>
                <w:rFonts w:ascii="Arial" w:hAnsi="Arial" w:cs="Arial"/>
                <w:b/>
                <w:bCs/>
                <w:sz w:val="20"/>
              </w:rPr>
            </w:pPr>
            <w:r>
              <w:rPr>
                <w:rFonts w:cs="Arial" w:ascii="Arial" w:hAnsi="Arial"/>
                <w:b/>
                <w:bCs/>
                <w:sz w:val="20"/>
              </w:rPr>
              <w:t>35%</w:t>
            </w:r>
          </w:p>
        </w:tc>
        <w:tc>
          <w:tcPr>
            <w:tcW w:w="960" w:type="dxa"/>
            <w:tcBorders/>
            <w:vAlign w:val="bottom"/>
          </w:tcPr>
          <w:p>
            <w:pPr>
              <w:pStyle w:val="Normal"/>
              <w:jc w:val="end"/>
              <w:rPr>
                <w:rFonts w:ascii="Arial" w:hAnsi="Arial" w:cs="Arial"/>
                <w:b/>
                <w:bCs/>
                <w:sz w:val="20"/>
              </w:rPr>
            </w:pPr>
            <w:r>
              <w:rPr>
                <w:rFonts w:cs="Arial" w:ascii="Arial" w:hAnsi="Arial"/>
                <w:b/>
                <w:bCs/>
                <w:sz w:val="20"/>
              </w:rPr>
              <w:t>45%</w:t>
            </w:r>
          </w:p>
        </w:tc>
        <w:tc>
          <w:tcPr>
            <w:tcW w:w="960" w:type="dxa"/>
            <w:tcBorders/>
            <w:vAlign w:val="bottom"/>
          </w:tcPr>
          <w:p>
            <w:pPr>
              <w:pStyle w:val="Normal"/>
              <w:jc w:val="end"/>
              <w:rPr>
                <w:rFonts w:ascii="Arial" w:hAnsi="Arial" w:cs="Arial"/>
                <w:b/>
                <w:bCs/>
                <w:sz w:val="20"/>
              </w:rPr>
            </w:pPr>
            <w:r>
              <w:rPr>
                <w:rFonts w:cs="Arial" w:ascii="Arial" w:hAnsi="Arial"/>
                <w:b/>
                <w:bCs/>
                <w:sz w:val="20"/>
              </w:rPr>
              <w:t>55%</w:t>
            </w:r>
          </w:p>
        </w:tc>
      </w:tr>
      <w:tr>
        <w:trPr>
          <w:trHeight w:val="255" w:hRule="atLeast"/>
        </w:trPr>
        <w:tc>
          <w:tcPr>
            <w:tcW w:w="5631" w:type="dxa"/>
            <w:gridSpan w:val="5"/>
            <w:tcBorders/>
            <w:vAlign w:val="bottom"/>
          </w:tcPr>
          <w:p>
            <w:pPr>
              <w:pStyle w:val="Normal"/>
              <w:rPr>
                <w:rFonts w:ascii="Arial" w:hAnsi="Arial" w:cs="Arial"/>
                <w:b/>
                <w:bCs/>
                <w:sz w:val="20"/>
              </w:rPr>
            </w:pPr>
            <w:r>
              <w:rPr>
                <w:rFonts w:cs="Arial" w:ascii="Arial" w:hAnsi="Arial"/>
                <w:b/>
                <w:bCs/>
                <w:sz w:val="20"/>
              </w:rPr>
              <w:t>Gross Profit- Before Interest and Expenses ($MM)</w:t>
            </w:r>
          </w:p>
        </w:tc>
        <w:tc>
          <w:tcPr>
            <w:tcW w:w="1543" w:type="dxa"/>
            <w:tcBorders/>
            <w:vAlign w:val="bottom"/>
          </w:tcPr>
          <w:p>
            <w:pPr>
              <w:pStyle w:val="Normal"/>
              <w:jc w:val="end"/>
              <w:rPr>
                <w:rFonts w:ascii="Arial" w:hAnsi="Arial" w:cs="Arial"/>
                <w:sz w:val="20"/>
              </w:rPr>
            </w:pPr>
            <w:r>
              <w:rPr>
                <w:rFonts w:cs="Arial" w:ascii="Arial" w:hAnsi="Arial"/>
                <w:sz w:val="20"/>
              </w:rPr>
              <w:t>9.24</w:t>
            </w:r>
          </w:p>
        </w:tc>
        <w:tc>
          <w:tcPr>
            <w:tcW w:w="960" w:type="dxa"/>
            <w:tcBorders/>
            <w:vAlign w:val="bottom"/>
          </w:tcPr>
          <w:p>
            <w:pPr>
              <w:pStyle w:val="Normal"/>
              <w:jc w:val="end"/>
              <w:rPr>
                <w:rFonts w:ascii="Arial" w:hAnsi="Arial" w:cs="Arial"/>
                <w:sz w:val="20"/>
              </w:rPr>
            </w:pPr>
            <w:r>
              <w:rPr>
                <w:rFonts w:cs="Arial" w:ascii="Arial" w:hAnsi="Arial"/>
                <w:sz w:val="20"/>
              </w:rPr>
              <w:t>13.43</w:t>
            </w:r>
          </w:p>
        </w:tc>
        <w:tc>
          <w:tcPr>
            <w:tcW w:w="960" w:type="dxa"/>
            <w:tcBorders/>
            <w:vAlign w:val="bottom"/>
          </w:tcPr>
          <w:p>
            <w:pPr>
              <w:pStyle w:val="Normal"/>
              <w:jc w:val="end"/>
              <w:rPr>
                <w:rFonts w:ascii="Arial" w:hAnsi="Arial" w:cs="Arial"/>
                <w:sz w:val="20"/>
              </w:rPr>
            </w:pPr>
            <w:r>
              <w:rPr>
                <w:rFonts w:cs="Arial" w:ascii="Arial" w:hAnsi="Arial"/>
                <w:sz w:val="20"/>
              </w:rPr>
              <w:t>17.94</w:t>
            </w:r>
          </w:p>
        </w:tc>
        <w:tc>
          <w:tcPr>
            <w:tcW w:w="960" w:type="dxa"/>
            <w:tcBorders/>
            <w:vAlign w:val="bottom"/>
          </w:tcPr>
          <w:p>
            <w:pPr>
              <w:pStyle w:val="Normal"/>
              <w:jc w:val="end"/>
              <w:rPr>
                <w:rFonts w:ascii="Arial" w:hAnsi="Arial" w:cs="Arial"/>
                <w:sz w:val="20"/>
              </w:rPr>
            </w:pPr>
            <w:r>
              <w:rPr>
                <w:rFonts w:cs="Arial" w:ascii="Arial" w:hAnsi="Arial"/>
                <w:sz w:val="20"/>
              </w:rPr>
              <w:t>22.76</w:t>
            </w:r>
          </w:p>
        </w:tc>
      </w:tr>
      <w:tr>
        <w:trPr>
          <w:trHeight w:val="255" w:hRule="atLeast"/>
        </w:trPr>
        <w:tc>
          <w:tcPr>
            <w:tcW w:w="3850" w:type="dxa"/>
            <w:gridSpan w:val="3"/>
            <w:tcBorders/>
            <w:vAlign w:val="bottom"/>
          </w:tcPr>
          <w:p>
            <w:pPr>
              <w:pStyle w:val="Normal"/>
              <w:rPr>
                <w:rFonts w:ascii="Arial" w:hAnsi="Arial" w:cs="Arial"/>
                <w:sz w:val="20"/>
              </w:rPr>
            </w:pPr>
            <w:r>
              <w:rPr>
                <w:rFonts w:cs="Arial" w:ascii="Arial" w:hAnsi="Arial"/>
                <w:sz w:val="20"/>
              </w:rPr>
              <w:t>Annual Expenses ($MM)</w:t>
            </w:r>
          </w:p>
        </w:tc>
        <w:tc>
          <w:tcPr>
            <w:tcW w:w="238" w:type="dxa"/>
            <w:tcBorders/>
            <w:vAlign w:val="bottom"/>
          </w:tcPr>
          <w:p>
            <w:pPr>
              <w:pStyle w:val="Normal"/>
              <w:snapToGrid w:val="false"/>
              <w:rPr>
                <w:rFonts w:ascii="Arial" w:hAnsi="Arial" w:cs="Arial"/>
                <w:sz w:val="20"/>
              </w:rPr>
            </w:pPr>
            <w:r>
              <w:rPr>
                <w:rFonts w:cs="Arial" w:ascii="Arial" w:hAnsi="Arial"/>
                <w:sz w:val="20"/>
              </w:rPr>
            </w:r>
          </w:p>
        </w:tc>
        <w:tc>
          <w:tcPr>
            <w:tcW w:w="1543" w:type="dxa"/>
            <w:tcBorders/>
            <w:vAlign w:val="bottom"/>
          </w:tcPr>
          <w:p>
            <w:pPr>
              <w:pStyle w:val="Normal"/>
              <w:snapToGrid w:val="false"/>
              <w:rPr>
                <w:rFonts w:ascii="Arial" w:hAnsi="Arial" w:cs="Arial"/>
                <w:sz w:val="20"/>
              </w:rPr>
            </w:pPr>
            <w:r>
              <w:rPr>
                <w:rFonts w:cs="Arial" w:ascii="Arial" w:hAnsi="Arial"/>
                <w:sz w:val="20"/>
              </w:rPr>
            </w:r>
          </w:p>
        </w:tc>
        <w:tc>
          <w:tcPr>
            <w:tcW w:w="1543" w:type="dxa"/>
            <w:tcBorders/>
            <w:vAlign w:val="bottom"/>
          </w:tcPr>
          <w:p>
            <w:pPr>
              <w:pStyle w:val="Normal"/>
              <w:jc w:val="end"/>
              <w:rPr>
                <w:rFonts w:ascii="Arial" w:hAnsi="Arial" w:cs="Arial"/>
                <w:sz w:val="20"/>
              </w:rPr>
            </w:pPr>
            <w:r>
              <w:rPr>
                <w:rFonts w:cs="Arial" w:ascii="Arial" w:hAnsi="Arial"/>
                <w:sz w:val="20"/>
              </w:rPr>
              <w:t>1.4</w:t>
            </w:r>
          </w:p>
        </w:tc>
        <w:tc>
          <w:tcPr>
            <w:tcW w:w="960" w:type="dxa"/>
            <w:tcBorders/>
            <w:vAlign w:val="bottom"/>
          </w:tcPr>
          <w:p>
            <w:pPr>
              <w:pStyle w:val="Normal"/>
              <w:jc w:val="end"/>
              <w:rPr>
                <w:rFonts w:ascii="Arial" w:hAnsi="Arial" w:cs="Arial"/>
                <w:sz w:val="20"/>
              </w:rPr>
            </w:pPr>
            <w:r>
              <w:rPr>
                <w:rFonts w:cs="Arial" w:ascii="Arial" w:hAnsi="Arial"/>
                <w:sz w:val="20"/>
              </w:rPr>
              <w:t>1.4</w:t>
            </w:r>
          </w:p>
        </w:tc>
        <w:tc>
          <w:tcPr>
            <w:tcW w:w="960" w:type="dxa"/>
            <w:tcBorders/>
            <w:vAlign w:val="bottom"/>
          </w:tcPr>
          <w:p>
            <w:pPr>
              <w:pStyle w:val="Normal"/>
              <w:jc w:val="end"/>
              <w:rPr>
                <w:rFonts w:ascii="Arial" w:hAnsi="Arial" w:cs="Arial"/>
                <w:sz w:val="20"/>
              </w:rPr>
            </w:pPr>
            <w:r>
              <w:rPr>
                <w:rFonts w:cs="Arial" w:ascii="Arial" w:hAnsi="Arial"/>
                <w:sz w:val="20"/>
              </w:rPr>
              <w:t>1.4</w:t>
            </w:r>
          </w:p>
        </w:tc>
        <w:tc>
          <w:tcPr>
            <w:tcW w:w="960" w:type="dxa"/>
            <w:tcBorders/>
            <w:vAlign w:val="bottom"/>
          </w:tcPr>
          <w:p>
            <w:pPr>
              <w:pStyle w:val="Normal"/>
              <w:jc w:val="end"/>
              <w:rPr>
                <w:rFonts w:ascii="Arial" w:hAnsi="Arial" w:cs="Arial"/>
                <w:sz w:val="20"/>
              </w:rPr>
            </w:pPr>
            <w:r>
              <w:rPr>
                <w:rFonts w:cs="Arial" w:ascii="Arial" w:hAnsi="Arial"/>
                <w:sz w:val="20"/>
              </w:rPr>
              <w:t>1.4</w:t>
            </w:r>
          </w:p>
        </w:tc>
      </w:tr>
      <w:tr>
        <w:trPr>
          <w:trHeight w:val="255" w:hRule="atLeast"/>
        </w:trPr>
        <w:tc>
          <w:tcPr>
            <w:tcW w:w="4088" w:type="dxa"/>
            <w:gridSpan w:val="4"/>
            <w:tcBorders/>
            <w:vAlign w:val="bottom"/>
          </w:tcPr>
          <w:p>
            <w:pPr>
              <w:pStyle w:val="Normal"/>
              <w:rPr>
                <w:rFonts w:ascii="Arial" w:hAnsi="Arial" w:cs="Arial"/>
                <w:sz w:val="20"/>
              </w:rPr>
            </w:pPr>
            <w:r>
              <w:rPr>
                <w:rFonts w:cs="Arial" w:ascii="Arial" w:hAnsi="Arial"/>
                <w:sz w:val="20"/>
              </w:rPr>
              <w:t>Preferred Interest Payout to Enron ($MM)</w:t>
            </w:r>
          </w:p>
        </w:tc>
        <w:tc>
          <w:tcPr>
            <w:tcW w:w="1543" w:type="dxa"/>
            <w:tcBorders/>
            <w:vAlign w:val="bottom"/>
          </w:tcPr>
          <w:p>
            <w:pPr>
              <w:pStyle w:val="Normal"/>
              <w:snapToGrid w:val="false"/>
              <w:rPr>
                <w:rFonts w:ascii="Arial" w:hAnsi="Arial" w:cs="Arial"/>
                <w:sz w:val="20"/>
              </w:rPr>
            </w:pPr>
            <w:r>
              <w:rPr>
                <w:rFonts w:cs="Arial" w:ascii="Arial" w:hAnsi="Arial"/>
                <w:sz w:val="20"/>
              </w:rPr>
            </w:r>
          </w:p>
        </w:tc>
        <w:tc>
          <w:tcPr>
            <w:tcW w:w="1543" w:type="dxa"/>
            <w:tcBorders/>
            <w:vAlign w:val="bottom"/>
          </w:tcPr>
          <w:p>
            <w:pPr>
              <w:pStyle w:val="Normal"/>
              <w:jc w:val="end"/>
              <w:rPr>
                <w:rFonts w:ascii="Arial" w:hAnsi="Arial" w:cs="Arial"/>
                <w:sz w:val="20"/>
              </w:rPr>
            </w:pPr>
            <w:r>
              <w:rPr>
                <w:rFonts w:cs="Arial" w:ascii="Arial" w:hAnsi="Arial"/>
                <w:sz w:val="20"/>
              </w:rPr>
              <w:t>2.45</w:t>
            </w:r>
          </w:p>
        </w:tc>
        <w:tc>
          <w:tcPr>
            <w:tcW w:w="960" w:type="dxa"/>
            <w:tcBorders/>
            <w:vAlign w:val="bottom"/>
          </w:tcPr>
          <w:p>
            <w:pPr>
              <w:pStyle w:val="Normal"/>
              <w:jc w:val="end"/>
              <w:rPr>
                <w:rFonts w:ascii="Arial" w:hAnsi="Arial" w:cs="Arial"/>
                <w:sz w:val="20"/>
              </w:rPr>
            </w:pPr>
            <w:r>
              <w:rPr>
                <w:rFonts w:cs="Arial" w:ascii="Arial" w:hAnsi="Arial"/>
                <w:sz w:val="20"/>
              </w:rPr>
              <w:t>2.45</w:t>
            </w:r>
          </w:p>
        </w:tc>
        <w:tc>
          <w:tcPr>
            <w:tcW w:w="960" w:type="dxa"/>
            <w:tcBorders/>
            <w:vAlign w:val="bottom"/>
          </w:tcPr>
          <w:p>
            <w:pPr>
              <w:pStyle w:val="Normal"/>
              <w:jc w:val="end"/>
              <w:rPr>
                <w:rFonts w:ascii="Arial" w:hAnsi="Arial" w:cs="Arial"/>
                <w:sz w:val="20"/>
              </w:rPr>
            </w:pPr>
            <w:r>
              <w:rPr>
                <w:rFonts w:cs="Arial" w:ascii="Arial" w:hAnsi="Arial"/>
                <w:sz w:val="20"/>
              </w:rPr>
              <w:t>2.45</w:t>
            </w:r>
          </w:p>
        </w:tc>
        <w:tc>
          <w:tcPr>
            <w:tcW w:w="960" w:type="dxa"/>
            <w:tcBorders/>
            <w:vAlign w:val="bottom"/>
          </w:tcPr>
          <w:p>
            <w:pPr>
              <w:pStyle w:val="Normal"/>
              <w:jc w:val="end"/>
              <w:rPr>
                <w:rFonts w:ascii="Arial" w:hAnsi="Arial" w:cs="Arial"/>
                <w:sz w:val="20"/>
              </w:rPr>
            </w:pPr>
            <w:r>
              <w:rPr>
                <w:rFonts w:cs="Arial" w:ascii="Arial" w:hAnsi="Arial"/>
                <w:sz w:val="20"/>
              </w:rPr>
              <w:t>2.45</w:t>
            </w:r>
          </w:p>
        </w:tc>
      </w:tr>
      <w:tr>
        <w:trPr>
          <w:trHeight w:val="255" w:hRule="atLeast"/>
        </w:trPr>
        <w:tc>
          <w:tcPr>
            <w:tcW w:w="4088" w:type="dxa"/>
            <w:gridSpan w:val="4"/>
            <w:tcBorders/>
            <w:vAlign w:val="bottom"/>
          </w:tcPr>
          <w:p>
            <w:pPr>
              <w:pStyle w:val="Normal"/>
              <w:rPr>
                <w:rFonts w:ascii="Arial" w:hAnsi="Arial" w:cs="Arial"/>
                <w:b/>
                <w:bCs/>
                <w:sz w:val="20"/>
              </w:rPr>
            </w:pPr>
            <w:r>
              <w:rPr>
                <w:rFonts w:cs="Arial" w:ascii="Arial" w:hAnsi="Arial"/>
                <w:b/>
                <w:bCs/>
                <w:sz w:val="20"/>
              </w:rPr>
              <w:t>Pre-tax Operating Income ($MM)</w:t>
            </w:r>
          </w:p>
        </w:tc>
        <w:tc>
          <w:tcPr>
            <w:tcW w:w="1543" w:type="dxa"/>
            <w:tcBorders/>
            <w:vAlign w:val="bottom"/>
          </w:tcPr>
          <w:p>
            <w:pPr>
              <w:pStyle w:val="Normal"/>
              <w:snapToGrid w:val="false"/>
              <w:rPr>
                <w:rFonts w:ascii="Arial" w:hAnsi="Arial" w:cs="Arial"/>
                <w:b/>
                <w:bCs/>
                <w:sz w:val="20"/>
              </w:rPr>
            </w:pPr>
            <w:r>
              <w:rPr>
                <w:rFonts w:cs="Arial" w:ascii="Arial" w:hAnsi="Arial"/>
                <w:b/>
                <w:bCs/>
                <w:sz w:val="20"/>
              </w:rPr>
            </w:r>
          </w:p>
        </w:tc>
        <w:tc>
          <w:tcPr>
            <w:tcW w:w="1543" w:type="dxa"/>
            <w:tcBorders/>
            <w:vAlign w:val="bottom"/>
          </w:tcPr>
          <w:p>
            <w:pPr>
              <w:pStyle w:val="Normal"/>
              <w:jc w:val="end"/>
              <w:rPr>
                <w:rFonts w:ascii="Arial" w:hAnsi="Arial" w:cs="Arial"/>
                <w:sz w:val="20"/>
              </w:rPr>
            </w:pPr>
            <w:r>
              <w:rPr>
                <w:rFonts w:cs="Arial" w:ascii="Arial" w:hAnsi="Arial"/>
                <w:sz w:val="20"/>
              </w:rPr>
              <w:t>5.39</w:t>
            </w:r>
          </w:p>
        </w:tc>
        <w:tc>
          <w:tcPr>
            <w:tcW w:w="960" w:type="dxa"/>
            <w:tcBorders/>
            <w:vAlign w:val="bottom"/>
          </w:tcPr>
          <w:p>
            <w:pPr>
              <w:pStyle w:val="Normal"/>
              <w:jc w:val="end"/>
              <w:rPr>
                <w:rFonts w:ascii="Arial" w:hAnsi="Arial" w:cs="Arial"/>
                <w:sz w:val="20"/>
              </w:rPr>
            </w:pPr>
            <w:r>
              <w:rPr>
                <w:rFonts w:cs="Arial" w:ascii="Arial" w:hAnsi="Arial"/>
                <w:sz w:val="20"/>
              </w:rPr>
              <w:t>9.58</w:t>
            </w:r>
          </w:p>
        </w:tc>
        <w:tc>
          <w:tcPr>
            <w:tcW w:w="960" w:type="dxa"/>
            <w:tcBorders/>
            <w:vAlign w:val="bottom"/>
          </w:tcPr>
          <w:p>
            <w:pPr>
              <w:pStyle w:val="Normal"/>
              <w:jc w:val="end"/>
              <w:rPr>
                <w:rFonts w:ascii="Arial" w:hAnsi="Arial" w:cs="Arial"/>
                <w:sz w:val="20"/>
              </w:rPr>
            </w:pPr>
            <w:r>
              <w:rPr>
                <w:rFonts w:cs="Arial" w:ascii="Arial" w:hAnsi="Arial"/>
                <w:sz w:val="20"/>
              </w:rPr>
              <w:t>14.09</w:t>
            </w:r>
          </w:p>
        </w:tc>
        <w:tc>
          <w:tcPr>
            <w:tcW w:w="960" w:type="dxa"/>
            <w:tcBorders/>
            <w:vAlign w:val="bottom"/>
          </w:tcPr>
          <w:p>
            <w:pPr>
              <w:pStyle w:val="Normal"/>
              <w:jc w:val="end"/>
              <w:rPr>
                <w:rFonts w:ascii="Arial" w:hAnsi="Arial" w:cs="Arial"/>
                <w:sz w:val="20"/>
              </w:rPr>
            </w:pPr>
            <w:r>
              <w:rPr>
                <w:rFonts w:cs="Arial" w:ascii="Arial" w:hAnsi="Arial"/>
                <w:sz w:val="20"/>
              </w:rPr>
              <w:t>18.91</w:t>
            </w:r>
          </w:p>
        </w:tc>
      </w:tr>
    </w:tbl>
    <w:p>
      <w:pPr>
        <w:pStyle w:val="Normal"/>
        <w:rPr>
          <w:vanish/>
        </w:rPr>
      </w:pPr>
      <w:r>
        <w:rPr>
          <w:vanish/>
        </w:rPr>
      </w:r>
    </w:p>
    <w:p>
      <w:pPr>
        <w:pStyle w:val="Normal"/>
        <w:rPr>
          <w:vanish/>
        </w:rPr>
      </w:pPr>
      <w:r>
        <w:rPr>
          <w:vanish/>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Symbol" w:hAnsi="Symbol" w:cs="Symbol"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Symbol" w:hAnsi="Symbol" w:cs="Symbol"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bCs/>
      <w:sz w:val="32"/>
    </w:rPr>
  </w:style>
  <w:style w:type="paragraph" w:styleId="Heading2">
    <w:name w:val="heading 2"/>
    <w:basedOn w:val="Normal"/>
    <w:next w:val="Normal"/>
    <w:qFormat/>
    <w:pPr>
      <w:keepNext w:val="true"/>
      <w:numPr>
        <w:ilvl w:val="1"/>
        <w:numId w:val="1"/>
      </w:numPr>
      <w:outlineLvl w:val="1"/>
    </w:pPr>
    <w:rPr>
      <w:u w:val="single"/>
    </w:rPr>
  </w:style>
  <w:style w:type="paragraph" w:styleId="Heading3">
    <w:name w:val="heading 3"/>
    <w:basedOn w:val="Normal"/>
    <w:next w:val="Normal"/>
    <w:qFormat/>
    <w:pPr>
      <w:keepNext w:val="true"/>
      <w:numPr>
        <w:ilvl w:val="2"/>
        <w:numId w:val="1"/>
      </w:numPr>
      <w:tabs>
        <w:tab w:val="clear" w:pos="720"/>
        <w:tab w:val="left" w:pos="6948" w:leader="none"/>
      </w:tabs>
      <w:outlineLvl w:val="2"/>
    </w:pPr>
    <w:rPr>
      <w:sz w:val="28"/>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5">
    <w:name w:val="WW8Num3z5"/>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5">
    <w:name w:val="WW8Num4z5"/>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2001-03-28T18:10:00Z</dcterms:created>
  <dc:creator>aschulman</dc:creator>
  <dc:description/>
  <dc:language>en-CA</dc:language>
  <cp:lastModifiedBy>akatz</cp:lastModifiedBy>
  <dcterms:modified xsi:type="dcterms:W3CDTF">2001-03-29T11:58:00Z</dcterms:modified>
  <cp:revision>6</cp:revision>
  <dc:subject/>
  <dc:title>Enron &amp; WR Hambrecht + Co</dc:title>
</cp:coreProperties>
</file>