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944" w:leader="none"/>
          <w:tab w:val="left" w:pos="2204" w:leader="none"/>
          <w:tab w:val="right" w:pos="2946" w:leader="none"/>
        </w:tabs>
        <w:jc w:val="end"/>
        <w:rPr>
          <w:rFonts w:ascii="Bookman Old Style" w:hAnsi="Bookman Old Style" w:cs="Bookman Old Style"/>
          <w:sz w:val="20"/>
        </w:rPr>
      </w:pPr>
      <w:r>
        <w:rPr>
          <w:rFonts w:cs="Bookman Old Style" w:ascii="Bookman Old Style" w:hAnsi="Bookman Old Style"/>
          <w:sz w:val="20"/>
        </w:rPr>
        <w:t>M. D. T. E. No. XXXXX</w:t>
      </w:r>
    </w:p>
    <w:p>
      <w:pPr>
        <w:pStyle w:val="Normal"/>
        <w:tabs>
          <w:tab w:val="clear" w:pos="720"/>
          <w:tab w:val="left" w:pos="0" w:leader="none"/>
          <w:tab w:val="left" w:pos="944" w:leader="none"/>
          <w:tab w:val="left" w:pos="2204" w:leader="none"/>
          <w:tab w:val="right" w:pos="2946" w:leader="none"/>
        </w:tabs>
        <w:jc w:val="end"/>
        <w:rPr>
          <w:rFonts w:ascii="Bookman Old Style" w:hAnsi="Bookman Old Style" w:cs="Bookman Old Style"/>
          <w:sz w:val="20"/>
        </w:rPr>
      </w:pPr>
      <w:r>
        <w:rPr>
          <w:rFonts w:cs="Bookman Old Style" w:ascii="Bookman Old Style" w:hAnsi="Bookman Old Style"/>
          <w:sz w:val="20"/>
        </w:rPr>
        <w:t>Sheet 1</w:t>
      </w:r>
    </w:p>
    <w:p>
      <w:pPr>
        <w:pStyle w:val="Normal"/>
        <w:tabs>
          <w:tab w:val="clear" w:pos="720"/>
          <w:tab w:val="left" w:pos="0" w:leader="none"/>
          <w:tab w:val="left" w:pos="944" w:leader="none"/>
          <w:tab w:val="left" w:pos="2204" w:leader="none"/>
          <w:tab w:val="right" w:pos="2946" w:leader="none"/>
        </w:tabs>
        <w:jc w:val="end"/>
        <w:rPr>
          <w:rFonts w:ascii="Bookman Old Style" w:hAnsi="Bookman Old Style" w:cs="Bookman Old Style"/>
          <w:sz w:val="20"/>
        </w:rPr>
      </w:pPr>
      <w:r>
        <w:rPr>
          <w:rFonts w:cs="Bookman Old Style" w:ascii="Bookman Old Style" w:hAnsi="Bookman Old Style"/>
          <w:sz w:val="20"/>
        </w:rPr>
        <w:t>Canceling M. D.P. U. No. 950-C</w:t>
      </w:r>
    </w:p>
    <w:p>
      <w:pPr>
        <w:pStyle w:val="Normal"/>
        <w:tabs>
          <w:tab w:val="clear" w:pos="720"/>
          <w:tab w:val="left" w:pos="0" w:leader="none"/>
          <w:tab w:val="left" w:pos="944" w:leader="none"/>
          <w:tab w:val="left" w:pos="2204" w:leader="none"/>
          <w:tab w:val="right" w:pos="2946"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3906" w:leader="none"/>
        </w:tabs>
        <w:jc w:val="center"/>
        <w:rPr>
          <w:rFonts w:ascii="Bookman Old Style" w:hAnsi="Bookman Old Style" w:cs="Bookman Old Style"/>
          <w:sz w:val="20"/>
        </w:rPr>
      </w:pPr>
      <w:r>
        <w:rPr>
          <w:rFonts w:cs="Bookman Old Style" w:ascii="Bookman Old Style" w:hAnsi="Bookman Old Style"/>
          <w:sz w:val="20"/>
        </w:rPr>
        <w:t>MASSACHUSETTS ELECTRIC COMPANY</w:t>
      </w:r>
    </w:p>
    <w:p>
      <w:pPr>
        <w:pStyle w:val="Normal"/>
        <w:tabs>
          <w:tab w:val="clear" w:pos="720"/>
          <w:tab w:val="left" w:pos="0" w:leader="none"/>
          <w:tab w:val="right" w:pos="3906"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3906" w:leader="none"/>
        </w:tabs>
        <w:jc w:val="center"/>
        <w:rPr>
          <w:rFonts w:ascii="Bookman Old Style" w:hAnsi="Bookman Old Style" w:cs="Bookman Old Style"/>
          <w:sz w:val="18"/>
        </w:rPr>
      </w:pPr>
      <w:r>
        <w:rPr>
          <w:rFonts w:cs="Bookman Old Style" w:ascii="Bookman Old Style" w:hAnsi="Bookman Old Style"/>
          <w:sz w:val="18"/>
        </w:rPr>
        <w:t>TIME-OF-USE - SDS-3</w:t>
      </w:r>
    </w:p>
    <w:p>
      <w:pPr>
        <w:pStyle w:val="Normal"/>
        <w:tabs>
          <w:tab w:val="clear" w:pos="720"/>
          <w:tab w:val="left" w:pos="0" w:leader="none"/>
          <w:tab w:val="right" w:pos="3906" w:leader="none"/>
        </w:tabs>
        <w:jc w:val="center"/>
        <w:rPr/>
      </w:pPr>
      <w:r>
        <w:rPr>
          <w:rFonts w:cs="Bookman Old Style" w:ascii="Bookman Old Style" w:hAnsi="Bookman Old Style"/>
          <w:sz w:val="18"/>
        </w:rPr>
        <w:t xml:space="preserve">RETAIL STANDBY DELIVERY </w:t>
      </w:r>
      <w:r>
        <w:rPr>
          <w:rFonts w:cs="Bookman Old Style" w:ascii="Bookman Old Style" w:hAnsi="Bookman Old Style"/>
          <w:sz w:val="20"/>
        </w:rPr>
        <w:t>SERVICE</w:t>
      </w:r>
    </w:p>
    <w:p>
      <w:pPr>
        <w:pStyle w:val="Normal"/>
        <w:tabs>
          <w:tab w:val="clear" w:pos="720"/>
          <w:tab w:val="left" w:pos="0" w:leader="none"/>
          <w:tab w:val="right" w:pos="3906"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1746" w:leader="none"/>
        </w:tabs>
        <w:rPr>
          <w:rFonts w:ascii="Bookman Old Style" w:hAnsi="Bookman Old Style" w:cs="Bookman Old Style"/>
          <w:sz w:val="18"/>
        </w:rPr>
      </w:pPr>
      <w:r>
        <w:rPr>
          <w:rFonts w:cs="Bookman Old Style" w:ascii="Bookman Old Style" w:hAnsi="Bookman Old Style"/>
          <w:sz w:val="18"/>
        </w:rPr>
        <w:t>AVAILABILITY</w:t>
      </w:r>
    </w:p>
    <w:p>
      <w:pPr>
        <w:pStyle w:val="Normal"/>
        <w:tabs>
          <w:tab w:val="clear" w:pos="720"/>
          <w:tab w:val="left" w:pos="0" w:leader="none"/>
          <w:tab w:val="right" w:pos="1746" w:leader="none"/>
        </w:tabs>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left" w:pos="254" w:leader="none"/>
        </w:tabs>
        <w:ind w:firstLine="254" w:end="0"/>
        <w:rPr>
          <w:rFonts w:ascii="Bookman Old Style" w:hAnsi="Bookman Old Style" w:cs="Bookman Old Style"/>
          <w:sz w:val="20"/>
        </w:rPr>
      </w:pPr>
      <w:r>
        <w:rPr>
          <w:rFonts w:cs="Bookman Old Style" w:ascii="Bookman Old Style" w:hAnsi="Bookman Old Style"/>
          <w:sz w:val="20"/>
        </w:rPr>
        <w:t>Electric delivery service under this rate is available for all Standby purposes, subject to the provisions of this section. A new Customer will begin delivery service on this rate if the Contract Reservation Demand exceeds 200 kW of Demand.</w:t>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254" w:leader="none"/>
        </w:tabs>
        <w:ind w:firstLine="254" w:end="0"/>
        <w:rPr>
          <w:rFonts w:ascii="Bookman Old Style" w:hAnsi="Bookman Old Style" w:cs="Bookman Old Style"/>
          <w:sz w:val="20"/>
        </w:rPr>
      </w:pPr>
      <w:r>
        <w:rPr>
          <w:rFonts w:cs="Bookman Old Style" w:ascii="Bookman Old Style" w:hAnsi="Bookman Old Style"/>
          <w:sz w:val="20"/>
        </w:rPr>
        <w:t xml:space="preserve">Standby Delivery Service is available to all Customers who desire to operate any electric generating equipment in parallel with the Company’s electric system. </w:t>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254" w:leader="none"/>
        </w:tabs>
        <w:ind w:firstLine="254" w:end="0"/>
        <w:rPr>
          <w:rFonts w:ascii="Bookman Old Style" w:hAnsi="Bookman Old Style" w:cs="Bookman Old Style"/>
          <w:sz w:val="20"/>
        </w:rPr>
      </w:pPr>
      <w:r>
        <w:rPr>
          <w:rFonts w:cs="Bookman Old Style" w:ascii="Bookman Old Style" w:hAnsi="Bookman Old Style"/>
          <w:sz w:val="20"/>
        </w:rPr>
        <w:t>All Customers served on this rate must elect to take their total electric delivery service under the time-of-use metering installation as approved by the Company. If delivery is through more than one meter, except at the Company's option, the Monthly Charge for service through each meter shall be computed separately under this rate.</w:t>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t>DEFINITIONS</w:t>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254" w:leader="none"/>
        </w:tabs>
        <w:ind w:firstLine="254" w:end="0"/>
        <w:rPr>
          <w:rFonts w:ascii="Bookman Old Style" w:hAnsi="Bookman Old Style" w:cs="Bookman Old Style"/>
          <w:sz w:val="20"/>
        </w:rPr>
      </w:pPr>
      <w:r>
        <w:rPr>
          <w:rFonts w:cs="Bookman Old Style" w:ascii="Bookman Old Style" w:hAnsi="Bookman Old Style"/>
          <w:sz w:val="20"/>
        </w:rPr>
        <w:t>“</w:t>
      </w:r>
      <w:r>
        <w:rPr>
          <w:rFonts w:cs="Bookman Old Style" w:ascii="Bookman Old Style" w:hAnsi="Bookman Old Style"/>
          <w:sz w:val="20"/>
        </w:rPr>
        <w:t>Backup Service” means delivery service supplied by the Company to deliver energy or capacity ordinarily generated by the Customer’s own generation equipment during periods of unscheduled outages of all or a portion of the Customer’s generation.</w:t>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254" w:leader="none"/>
        </w:tabs>
        <w:ind w:firstLine="254" w:end="0"/>
        <w:rPr>
          <w:rFonts w:ascii="Bookman Old Style" w:hAnsi="Bookman Old Style" w:cs="Bookman Old Style"/>
          <w:sz w:val="20"/>
        </w:rPr>
      </w:pPr>
      <w:r>
        <w:rPr>
          <w:rFonts w:cs="Bookman Old Style" w:ascii="Bookman Old Style" w:hAnsi="Bookman Old Style"/>
          <w:sz w:val="20"/>
        </w:rPr>
        <w:t>“</w:t>
      </w:r>
      <w:r>
        <w:rPr>
          <w:rFonts w:cs="Bookman Old Style" w:ascii="Bookman Old Style" w:hAnsi="Bookman Old Style"/>
          <w:sz w:val="20"/>
        </w:rPr>
        <w:t>Contract Reservation Demand” means the level of delivery demand the Customer contracts for on a monthly basis from the Company.</w:t>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254" w:leader="none"/>
        </w:tabs>
        <w:ind w:firstLine="254" w:end="0"/>
        <w:rPr>
          <w:rFonts w:ascii="Bookman Old Style" w:hAnsi="Bookman Old Style" w:cs="Bookman Old Style"/>
          <w:sz w:val="20"/>
        </w:rPr>
      </w:pPr>
      <w:r>
        <w:rPr>
          <w:rFonts w:cs="Bookman Old Style" w:ascii="Bookman Old Style" w:hAnsi="Bookman Old Style"/>
          <w:sz w:val="20"/>
        </w:rPr>
        <w:t>“</w:t>
      </w:r>
      <w:r>
        <w:rPr>
          <w:rFonts w:cs="Bookman Old Style" w:ascii="Bookman Old Style" w:hAnsi="Bookman Old Style"/>
          <w:sz w:val="20"/>
        </w:rPr>
        <w:t>Maintenance Service” means delivery supplied by the Company to deliver energy or capacity ordinarily generated by the Customer’s own generation equipment during periods of scheduled outages of all or a portion of the Customer’s generation.</w:t>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2196" w:leader="none"/>
        </w:tabs>
        <w:rPr>
          <w:rFonts w:ascii="Bookman Old Style" w:hAnsi="Bookman Old Style" w:cs="Bookman Old Style"/>
          <w:sz w:val="20"/>
        </w:rPr>
      </w:pPr>
      <w:r>
        <w:rPr>
          <w:rFonts w:cs="Bookman Old Style" w:ascii="Bookman Old Style" w:hAnsi="Bookman Old Style"/>
          <w:sz w:val="20"/>
        </w:rPr>
        <w:t>MONTHLY CHARGE</w:t>
      </w:r>
    </w:p>
    <w:p>
      <w:pPr>
        <w:pStyle w:val="Normal"/>
        <w:tabs>
          <w:tab w:val="clear" w:pos="720"/>
          <w:tab w:val="left" w:pos="0" w:leader="none"/>
          <w:tab w:val="right" w:pos="2196" w:leader="none"/>
        </w:tabs>
        <w:rPr>
          <w:rFonts w:ascii="Bookman Old Style" w:hAnsi="Bookman Old Style" w:cs="Bookman Old Style"/>
          <w:sz w:val="20"/>
        </w:rPr>
      </w:pPr>
      <w:r>
        <w:rPr>
          <w:rFonts w:cs="Bookman Old Style" w:ascii="Bookman Old Style" w:hAnsi="Bookman Old Style"/>
          <w:sz w:val="20"/>
        </w:rPr>
      </w:r>
    </w:p>
    <w:p>
      <w:pPr>
        <w:pStyle w:val="BlockText"/>
        <w:rPr/>
      </w:pPr>
      <w:r>
        <w:rPr/>
        <w:t>The Monthly Charge will be the sum of the applicable Customer, Demand and Energy Charges. For Backup service, the Demand charge is the greater of the Transition Demand Charge or Backup Service Demand Charge.</w:t>
      </w:r>
    </w:p>
    <w:p>
      <w:pPr>
        <w:pStyle w:val="Normal"/>
        <w:tabs>
          <w:tab w:val="clear" w:pos="720"/>
          <w:tab w:val="left" w:pos="0" w:leader="none"/>
          <w:tab w:val="left" w:pos="254"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2990" w:leader="none"/>
        </w:tabs>
        <w:rPr>
          <w:rFonts w:ascii="Bookman Old Style" w:hAnsi="Bookman Old Style" w:cs="Bookman Old Style"/>
          <w:sz w:val="20"/>
          <w:u w:val="single"/>
        </w:rPr>
      </w:pPr>
      <w:r>
        <w:rPr>
          <w:rFonts w:cs="Bookman Old Style" w:ascii="Bookman Old Style" w:hAnsi="Bookman Old Style"/>
          <w:sz w:val="20"/>
          <w:u w:val="single"/>
        </w:rPr>
        <w:t>Rates for Retail Standby Delivery Service</w:t>
      </w:r>
    </w:p>
    <w:p>
      <w:pPr>
        <w:pStyle w:val="Normal"/>
        <w:tabs>
          <w:tab w:val="clear" w:pos="720"/>
          <w:tab w:val="left" w:pos="0" w:leader="none"/>
          <w:tab w:val="right" w:pos="2990" w:leader="none"/>
        </w:tabs>
        <w:rPr>
          <w:rFonts w:ascii="Bookman Old Style" w:hAnsi="Bookman Old Style" w:cs="Bookman Old Style"/>
          <w:sz w:val="20"/>
          <w:u w:val="single"/>
        </w:rPr>
      </w:pPr>
      <w:r>
        <w:rPr>
          <w:rFonts w:cs="Bookman Old Style" w:ascii="Bookman Old Style" w:hAnsi="Bookman Old Style"/>
          <w:sz w:val="20"/>
          <w:u w:val="single"/>
        </w:rPr>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t>Customer Charge</w:t>
        <w:tab/>
        <w:t>$67.27</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u w:val="single"/>
        </w:rPr>
        <w:t>Backup Service Demand Charges</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t xml:space="preserve">Distribution Demand Charge per kW </w:t>
      </w:r>
    </w:p>
    <w:p>
      <w:pPr>
        <w:pStyle w:val="Normal"/>
        <w:tabs>
          <w:tab w:val="clear" w:pos="720"/>
          <w:tab w:val="left" w:pos="330" w:leader="none"/>
          <w:tab w:val="left" w:pos="660" w:leader="none"/>
          <w:tab w:val="left" w:pos="5504" w:leader="none"/>
          <w:tab w:val="right" w:pos="6366" w:leader="none"/>
        </w:tabs>
        <w:ind w:hanging="5174" w:start="5504" w:end="0"/>
        <w:rPr>
          <w:rFonts w:ascii="Bookman Old Style" w:hAnsi="Bookman Old Style" w:cs="Bookman Old Style"/>
          <w:sz w:val="20"/>
        </w:rPr>
      </w:pPr>
      <w:r>
        <w:rPr>
          <w:rFonts w:cs="Bookman Old Style" w:ascii="Bookman Old Style" w:hAnsi="Bookman Old Style"/>
          <w:sz w:val="20"/>
        </w:rPr>
        <w:t xml:space="preserve">of Contract Reservation Demand   </w:t>
        <w:tab/>
        <w:t>$3.63</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t xml:space="preserve">Transition Demand Charge per kW </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t>of Contract Reservation Demand</w:t>
        <w:tab/>
        <w:t>$0.26</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t xml:space="preserve">Backup Service Demand Charge per kW </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t>of Backup Billing Demand</w:t>
        <w:tab/>
        <w:t>$0.25</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u w:val="single"/>
        </w:rPr>
        <w:t>Maintenance Service Demand Charges</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t xml:space="preserve">Maintenance Service Demand Charge per kW </w:t>
      </w:r>
    </w:p>
    <w:p>
      <w:pPr>
        <w:pStyle w:val="Normal"/>
        <w:tabs>
          <w:tab w:val="clear" w:pos="720"/>
          <w:tab w:val="left" w:pos="330" w:leader="none"/>
          <w:tab w:val="left" w:pos="660" w:leader="none"/>
          <w:tab w:val="left" w:pos="5504" w:leader="none"/>
          <w:tab w:val="right" w:pos="6366" w:leader="none"/>
        </w:tabs>
        <w:ind w:start="330" w:end="0"/>
        <w:rPr>
          <w:rFonts w:ascii="Bookman Old Style" w:hAnsi="Bookman Old Style" w:cs="Bookman Old Style"/>
          <w:sz w:val="20"/>
        </w:rPr>
      </w:pPr>
      <w:r>
        <w:rPr>
          <w:rFonts w:cs="Bookman Old Style" w:ascii="Bookman Old Style" w:hAnsi="Bookman Old Style"/>
          <w:sz w:val="20"/>
        </w:rPr>
        <w:t>of Maintenance Backup Billing Demand</w:t>
        <w:tab/>
        <w:t>$0.125</w:t>
      </w:r>
    </w:p>
    <w:p>
      <w:pPr>
        <w:pStyle w:val="Normal"/>
        <w:tabs>
          <w:tab w:val="clear" w:pos="720"/>
          <w:tab w:val="left" w:pos="0" w:leader="none"/>
          <w:tab w:val="left" w:pos="330" w:leader="none"/>
          <w:tab w:val="left" w:pos="5174" w:leader="none"/>
          <w:tab w:val="right" w:pos="6036"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330" w:leader="none"/>
          <w:tab w:val="left" w:pos="660" w:leader="none"/>
        </w:tabs>
        <w:ind w:start="330" w:end="0"/>
        <w:rPr>
          <w:rFonts w:ascii="Bookman Old Style" w:hAnsi="Bookman Old Style" w:cs="Bookman Old Style"/>
          <w:sz w:val="20"/>
          <w:u w:val="single"/>
        </w:rPr>
      </w:pPr>
      <w:r>
        <w:rPr>
          <w:rFonts w:cs="Bookman Old Style" w:ascii="Bookman Old Style" w:hAnsi="Bookman Old Style"/>
          <w:sz w:val="20"/>
          <w:u w:val="single"/>
        </w:rPr>
        <w:t>Distribution Energy Charge per kWh</w:t>
      </w:r>
    </w:p>
    <w:p>
      <w:pPr>
        <w:pStyle w:val="Normal"/>
        <w:tabs>
          <w:tab w:val="clear" w:pos="720"/>
          <w:tab w:val="left" w:pos="0" w:leader="none"/>
          <w:tab w:val="left" w:pos="330" w:leader="none"/>
        </w:tabs>
        <w:rPr>
          <w:rFonts w:ascii="Bookman Old Style" w:hAnsi="Bookman Old Style" w:cs="Bookman Old Style"/>
          <w:sz w:val="20"/>
          <w:u w:val="single"/>
        </w:rPr>
      </w:pPr>
      <w:r>
        <w:rPr>
          <w:rFonts w:cs="Bookman Old Style" w:ascii="Bookman Old Style" w:hAnsi="Bookman Old Style"/>
          <w:sz w:val="20"/>
          <w:u w:val="single"/>
        </w:rPr>
      </w:r>
    </w:p>
    <w:p>
      <w:pPr>
        <w:pStyle w:val="Normal"/>
        <w:tabs>
          <w:tab w:val="clear" w:pos="720"/>
          <w:tab w:val="left" w:pos="330" w:leader="none"/>
          <w:tab w:val="left" w:pos="660" w:leader="none"/>
          <w:tab w:val="left" w:pos="1514" w:leader="none"/>
          <w:tab w:val="left" w:pos="5490" w:leader="none"/>
          <w:tab w:val="right" w:pos="6350" w:leader="none"/>
        </w:tabs>
        <w:ind w:firstLine="330" w:start="330" w:end="0"/>
        <w:rPr>
          <w:rFonts w:ascii="Bookman Old Style" w:hAnsi="Bookman Old Style" w:cs="Bookman Old Style"/>
          <w:sz w:val="20"/>
        </w:rPr>
      </w:pPr>
      <w:r>
        <w:rPr>
          <w:rFonts w:cs="Bookman Old Style" w:ascii="Bookman Old Style" w:hAnsi="Bookman Old Style"/>
          <w:sz w:val="20"/>
        </w:rPr>
        <w:t>Peak Hours Use</w:t>
        <w:tab/>
        <w:t>1.1830¢</w:t>
      </w:r>
    </w:p>
    <w:p>
      <w:pPr>
        <w:pStyle w:val="Normal"/>
        <w:tabs>
          <w:tab w:val="clear" w:pos="720"/>
          <w:tab w:val="left" w:pos="330" w:leader="none"/>
          <w:tab w:val="left" w:pos="660" w:leader="none"/>
          <w:tab w:val="left" w:pos="1514" w:leader="none"/>
          <w:tab w:val="left" w:pos="5490" w:leader="none"/>
          <w:tab w:val="right" w:pos="6350" w:leader="none"/>
        </w:tabs>
        <w:ind w:firstLine="330" w:start="330" w:end="0"/>
        <w:rPr>
          <w:rFonts w:ascii="Bookman Old Style" w:hAnsi="Bookman Old Style" w:cs="Bookman Old Style"/>
          <w:sz w:val="20"/>
        </w:rPr>
      </w:pPr>
      <w:r>
        <w:rPr>
          <w:rFonts w:cs="Bookman Old Style" w:ascii="Bookman Old Style" w:hAnsi="Bookman Old Style"/>
          <w:sz w:val="20"/>
        </w:rPr>
        <w:t>Off-Peak Hours Use</w:t>
        <w:tab/>
        <w:t>0.0000¢</w:t>
      </w:r>
    </w:p>
    <w:p>
      <w:pPr>
        <w:sectPr>
          <w:type w:val="nextPage"/>
          <w:pgSz w:w="12240" w:h="15840"/>
          <w:pgMar w:left="720" w:right="720" w:gutter="0" w:header="0" w:top="792" w:footer="0" w:bottom="648"/>
          <w:pgNumType w:fmt="decimal"/>
          <w:formProt w:val="false"/>
          <w:textDirection w:val="lrTb"/>
          <w:docGrid w:type="default" w:linePitch="360" w:charSpace="0"/>
        </w:sectPr>
        <w:pStyle w:val="Normal"/>
        <w:tabs>
          <w:tab w:val="clear" w:pos="720"/>
          <w:tab w:val="left" w:pos="330" w:leader="none"/>
          <w:tab w:val="left" w:pos="660" w:leader="none"/>
          <w:tab w:val="left" w:pos="1514" w:leader="none"/>
          <w:tab w:val="left" w:pos="5490" w:leader="none"/>
          <w:tab w:val="right" w:pos="6350" w:leader="none"/>
        </w:tabs>
        <w:ind w:start="330" w:end="0"/>
        <w:rPr/>
      </w:pPr>
      <w:r>
        <w:rPr>
          <w:rFonts w:cs="Bookman Old Style" w:ascii="Bookman Old Style" w:hAnsi="Bookman Old Style"/>
          <w:sz w:val="20"/>
          <w:u w:val="single"/>
        </w:rPr>
        <w:t>Transition Charge per kWh</w:t>
      </w:r>
      <w:r>
        <w:rPr>
          <w:rFonts w:cs="Bookman Old Style" w:ascii="Bookman Old Style" w:hAnsi="Bookman Old Style"/>
          <w:sz w:val="20"/>
        </w:rPr>
        <w:tab/>
        <w:t>1.5360¢</w:t>
      </w:r>
    </w:p>
    <w:p>
      <w:pPr>
        <w:pStyle w:val="Normal"/>
        <w:tabs>
          <w:tab w:val="clear" w:pos="720"/>
          <w:tab w:val="left" w:pos="0" w:leader="none"/>
          <w:tab w:val="right" w:pos="2020" w:leader="none"/>
        </w:tabs>
        <w:jc w:val="end"/>
        <w:rPr>
          <w:rFonts w:ascii="Bookman Old Style" w:hAnsi="Bookman Old Style" w:cs="Bookman Old Style"/>
          <w:sz w:val="20"/>
        </w:rPr>
      </w:pPr>
      <w:r>
        <w:rPr>
          <w:rFonts w:cs="Bookman Old Style" w:ascii="Bookman Old Style" w:hAnsi="Bookman Old Style"/>
          <w:sz w:val="20"/>
        </w:rPr>
        <w:t>M. D. T. E. No. XXXXX</w:t>
      </w:r>
    </w:p>
    <w:p>
      <w:pPr>
        <w:pStyle w:val="Normal"/>
        <w:tabs>
          <w:tab w:val="clear" w:pos="720"/>
          <w:tab w:val="left" w:pos="0" w:leader="none"/>
          <w:tab w:val="right" w:pos="2020" w:leader="none"/>
        </w:tabs>
        <w:jc w:val="end"/>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1260" w:leader="none"/>
          <w:tab w:val="left" w:pos="2520" w:leader="none"/>
          <w:tab w:val="right" w:pos="3280" w:leader="none"/>
        </w:tabs>
        <w:ind w:start="1260" w:end="0"/>
        <w:jc w:val="end"/>
        <w:rPr>
          <w:rFonts w:ascii="Bookman Old Style" w:hAnsi="Bookman Old Style" w:cs="Bookman Old Style"/>
          <w:sz w:val="20"/>
        </w:rPr>
      </w:pPr>
      <w:r>
        <w:rPr>
          <w:rFonts w:cs="Bookman Old Style" w:ascii="Bookman Old Style" w:hAnsi="Bookman Old Style"/>
          <w:sz w:val="20"/>
        </w:rPr>
        <w:t>Sheet 2</w:t>
      </w:r>
    </w:p>
    <w:p>
      <w:pPr>
        <w:pStyle w:val="Normal"/>
        <w:tabs>
          <w:tab w:val="clear" w:pos="720"/>
          <w:tab w:val="left" w:pos="0" w:leader="none"/>
          <w:tab w:val="left" w:pos="1260" w:leader="none"/>
          <w:tab w:val="right" w:pos="202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3910" w:leader="none"/>
        </w:tabs>
        <w:jc w:val="center"/>
        <w:rPr>
          <w:rFonts w:ascii="Bookman Old Style" w:hAnsi="Bookman Old Style" w:cs="Bookman Old Style"/>
          <w:sz w:val="18"/>
        </w:rPr>
      </w:pPr>
      <w:r>
        <w:rPr>
          <w:rFonts w:cs="Bookman Old Style" w:ascii="Bookman Old Style" w:hAnsi="Bookman Old Style"/>
          <w:sz w:val="18"/>
        </w:rPr>
        <w:t>MASSACHUSETTS ELECTRIC COMPANY</w:t>
      </w:r>
    </w:p>
    <w:p>
      <w:pPr>
        <w:pStyle w:val="Normal"/>
        <w:tabs>
          <w:tab w:val="clear" w:pos="720"/>
          <w:tab w:val="left" w:pos="0" w:leader="none"/>
          <w:tab w:val="right" w:pos="3910" w:leader="none"/>
        </w:tabs>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left" w:pos="524" w:leader="none"/>
          <w:tab w:val="right" w:pos="3370" w:leader="none"/>
        </w:tabs>
        <w:jc w:val="center"/>
        <w:rPr>
          <w:rFonts w:ascii="Bookman Old Style" w:hAnsi="Bookman Old Style" w:cs="Bookman Old Style"/>
          <w:sz w:val="18"/>
        </w:rPr>
      </w:pPr>
      <w:r>
        <w:rPr>
          <w:rFonts w:cs="Bookman Old Style" w:ascii="Bookman Old Style" w:hAnsi="Bookman Old Style"/>
          <w:sz w:val="18"/>
        </w:rPr>
        <w:t>TIME-OF-USE - SDS-3</w:t>
      </w:r>
    </w:p>
    <w:p>
      <w:pPr>
        <w:pStyle w:val="Normal"/>
        <w:tabs>
          <w:tab w:val="clear" w:pos="720"/>
          <w:tab w:val="left" w:pos="0" w:leader="none"/>
          <w:tab w:val="left" w:pos="524" w:leader="none"/>
          <w:tab w:val="right" w:pos="3370" w:leader="none"/>
        </w:tabs>
        <w:jc w:val="center"/>
        <w:rPr>
          <w:rFonts w:ascii="Bookman Old Style" w:hAnsi="Bookman Old Style" w:cs="Bookman Old Style"/>
          <w:sz w:val="18"/>
        </w:rPr>
      </w:pPr>
      <w:r>
        <w:rPr>
          <w:rFonts w:cs="Bookman Old Style" w:ascii="Bookman Old Style" w:hAnsi="Bookman Old Style"/>
          <w:sz w:val="18"/>
        </w:rPr>
        <w:t>RETAIL STANDBY DELIVERY SERVICE</w:t>
      </w:r>
    </w:p>
    <w:p>
      <w:pPr>
        <w:pStyle w:val="Normal"/>
        <w:tabs>
          <w:tab w:val="clear" w:pos="720"/>
          <w:tab w:val="left" w:pos="0" w:leader="none"/>
          <w:tab w:val="left" w:pos="524" w:leader="none"/>
          <w:tab w:val="right" w:pos="3370" w:leader="none"/>
        </w:tabs>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right" w:pos="3235" w:leader="none"/>
        </w:tabs>
        <w:rPr>
          <w:rFonts w:ascii="Bookman Old Style" w:hAnsi="Bookman Old Style" w:cs="Bookman Old Style"/>
          <w:sz w:val="18"/>
        </w:rPr>
      </w:pPr>
      <w:r>
        <w:rPr>
          <w:rFonts w:cs="Bookman Old Style" w:ascii="Bookman Old Style" w:hAnsi="Bookman Old Style"/>
          <w:sz w:val="18"/>
        </w:rPr>
        <w:t>PEAK AND OFF-PEAK PERIODS</w:t>
      </w:r>
    </w:p>
    <w:p>
      <w:pPr>
        <w:pStyle w:val="Normal"/>
        <w:tabs>
          <w:tab w:val="clear" w:pos="720"/>
          <w:tab w:val="left" w:pos="0" w:leader="none"/>
          <w:tab w:val="right" w:pos="3235" w:leader="none"/>
        </w:tabs>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690" w:leader="none"/>
          <w:tab w:val="left" w:pos="1380" w:leader="none"/>
        </w:tabs>
        <w:ind w:start="690" w:end="0"/>
        <w:rPr>
          <w:rFonts w:ascii="Bookman Old Style" w:hAnsi="Bookman Old Style" w:cs="Bookman Old Style"/>
          <w:sz w:val="20"/>
        </w:rPr>
      </w:pPr>
      <w:r>
        <w:rPr>
          <w:rFonts w:cs="Bookman Old Style" w:ascii="Bookman Old Style" w:hAnsi="Bookman Old Style"/>
          <w:sz w:val="20"/>
        </w:rPr>
        <w:t>Peak hours will be from 8:00 A.M. to 9:00 P.M. daily on Monday through Friday, excluding holidays.</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Off-Peak hours will be from 9:00 P.M. to 8:00 A.M. daily Monday through Friday, and all day on Saturdays, Sundays, and holidays.</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The Company reserves the right to change these peak and off-peak hours, but in no case will the off-peak hours be less than eleven hours per day.</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The holidays will be: New Year's Day, President's Day, Memorial Day, Independence Day, Columbus Day, Labor Day, Veteran's Day, Thanksgiving Day and Christmas Day. All holidays will be the nationally observed day.</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4630" w:leader="none"/>
        </w:tabs>
        <w:rPr>
          <w:rFonts w:ascii="Bookman Old Style" w:hAnsi="Bookman Old Style" w:cs="Bookman Old Style"/>
          <w:sz w:val="20"/>
        </w:rPr>
      </w:pPr>
      <w:r>
        <w:rPr>
          <w:rFonts w:cs="Bookman Old Style" w:ascii="Bookman Old Style" w:hAnsi="Bookman Old Style"/>
          <w:sz w:val="20"/>
        </w:rPr>
        <w:t>TRANSMISSION SERVICE</w:t>
      </w:r>
    </w:p>
    <w:p>
      <w:pPr>
        <w:pStyle w:val="Normal"/>
        <w:tabs>
          <w:tab w:val="clear" w:pos="720"/>
          <w:tab w:val="left" w:pos="0" w:leader="none"/>
          <w:tab w:val="right" w:pos="463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Transmission service is available to all retail customers taking service under this rate upon request.</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3475" w:leader="none"/>
        </w:tabs>
        <w:rPr>
          <w:rFonts w:ascii="Bookman Old Style" w:hAnsi="Bookman Old Style" w:cs="Bookman Old Style"/>
          <w:sz w:val="18"/>
        </w:rPr>
      </w:pPr>
      <w:r>
        <w:rPr>
          <w:rFonts w:cs="Bookman Old Style" w:ascii="Bookman Old Style" w:hAnsi="Bookman Old Style"/>
          <w:sz w:val="18"/>
        </w:rPr>
        <w:t>TRANSITION COST ADJUSTMENT</w:t>
      </w:r>
    </w:p>
    <w:p>
      <w:pPr>
        <w:pStyle w:val="Normal"/>
        <w:tabs>
          <w:tab w:val="clear" w:pos="720"/>
          <w:tab w:val="left" w:pos="0" w:leader="none"/>
          <w:tab w:val="right" w:pos="3475" w:leader="none"/>
        </w:tabs>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The Transition Charges under this rate as set forth under "Monthly Charge" shall be adjusted from time to time.</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1630" w:leader="none"/>
        </w:tabs>
        <w:rPr>
          <w:rFonts w:ascii="Bookman Old Style" w:hAnsi="Bookman Old Style" w:cs="Bookman Old Style"/>
          <w:sz w:val="20"/>
        </w:rPr>
      </w:pPr>
      <w:r>
        <w:rPr>
          <w:rFonts w:cs="Bookman Old Style" w:ascii="Bookman Old Style" w:hAnsi="Bookman Old Style"/>
          <w:sz w:val="20"/>
        </w:rPr>
        <w:t>DSM CHARGE</w:t>
      </w:r>
    </w:p>
    <w:p>
      <w:pPr>
        <w:pStyle w:val="Normal"/>
        <w:tabs>
          <w:tab w:val="clear" w:pos="720"/>
          <w:tab w:val="left" w:pos="0" w:leader="none"/>
          <w:tab w:val="right" w:pos="163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Customers receiving Retail Delivery Services under this rate will be charged a DSM Charge, representing a charge for energy conservation programs, in accordance with the Company's Demand Side Management Provision.</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2560" w:leader="none"/>
        </w:tabs>
        <w:rPr>
          <w:rFonts w:ascii="Bookman Old Style" w:hAnsi="Bookman Old Style" w:cs="Bookman Old Style"/>
          <w:sz w:val="20"/>
        </w:rPr>
      </w:pPr>
      <w:r>
        <w:rPr>
          <w:rFonts w:cs="Bookman Old Style" w:ascii="Bookman Old Style" w:hAnsi="Bookman Old Style"/>
          <w:sz w:val="20"/>
        </w:rPr>
        <w:t>RENEWABLES CHARGE</w:t>
      </w:r>
    </w:p>
    <w:p>
      <w:pPr>
        <w:pStyle w:val="Normal"/>
        <w:tabs>
          <w:tab w:val="clear" w:pos="720"/>
          <w:tab w:val="left" w:pos="0" w:leader="none"/>
          <w:tab w:val="right" w:pos="256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Customers receiving Retail Delivery Services under this rate will be charged a Renewables Charge in accordance with the Company's Renewables Provision.</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3235" w:leader="none"/>
        </w:tabs>
        <w:rPr>
          <w:rFonts w:ascii="Bookman Old Style" w:hAnsi="Bookman Old Style" w:cs="Bookman Old Style"/>
          <w:sz w:val="20"/>
        </w:rPr>
      </w:pPr>
      <w:r>
        <w:rPr>
          <w:rFonts w:cs="Bookman Old Style" w:ascii="Bookman Old Style" w:hAnsi="Bookman Old Style"/>
          <w:sz w:val="20"/>
        </w:rPr>
        <w:t>DETERMINATION OF DEMAND</w:t>
      </w:r>
    </w:p>
    <w:p>
      <w:pPr>
        <w:pStyle w:val="Normal"/>
        <w:tabs>
          <w:tab w:val="clear" w:pos="720"/>
          <w:tab w:val="left" w:pos="0" w:leader="none"/>
          <w:tab w:val="right" w:pos="3235"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690" w:leader="none"/>
          <w:tab w:val="left" w:pos="1380" w:leader="none"/>
        </w:tabs>
        <w:ind w:start="690" w:end="0"/>
        <w:rPr>
          <w:rFonts w:ascii="Bookman Old Style" w:hAnsi="Bookman Old Style" w:cs="Bookman Old Style"/>
          <w:sz w:val="20"/>
        </w:rPr>
      </w:pPr>
      <w:r>
        <w:rPr>
          <w:rFonts w:cs="Bookman Old Style" w:ascii="Bookman Old Style" w:hAnsi="Bookman Old Style"/>
          <w:sz w:val="20"/>
        </w:rPr>
        <w:t xml:space="preserve">The Contract Reservation Demand shall be specified in advance by the Customer and shall be the amount, in kilowatts, for which the Customer desired Backup Service. </w:t>
      </w:r>
    </w:p>
    <w:p>
      <w:pPr>
        <w:pStyle w:val="Normal"/>
        <w:tabs>
          <w:tab w:val="clear" w:pos="720"/>
          <w:tab w:val="left" w:pos="690" w:leader="none"/>
          <w:tab w:val="left" w:pos="1380" w:leader="none"/>
        </w:tabs>
        <w:ind w:start="690" w:end="0"/>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690" w:leader="none"/>
          <w:tab w:val="left" w:pos="1380" w:leader="none"/>
        </w:tabs>
        <w:ind w:start="690" w:end="0"/>
        <w:rPr/>
      </w:pPr>
      <w:r>
        <w:rPr>
          <w:rFonts w:cs="Bookman Old Style" w:ascii="Bookman Old Style" w:hAnsi="Bookman Old Style"/>
          <w:sz w:val="20"/>
        </w:rPr>
        <w:t xml:space="preserve">The Demand for each month under ordinary load conditions shall be the </w:t>
      </w:r>
      <w:r>
        <w:rPr>
          <w:rFonts w:cs="Times New Roman" w:ascii="Times New Roman" w:hAnsi="Times New Roman"/>
          <w:sz w:val="20"/>
        </w:rPr>
        <w:t>following:</w:t>
      </w:r>
    </w:p>
    <w:p>
      <w:pPr>
        <w:pStyle w:val="Normal"/>
        <w:tabs>
          <w:tab w:val="clear" w:pos="720"/>
          <w:tab w:val="left" w:pos="690" w:leader="none"/>
          <w:tab w:val="left" w:pos="1380" w:leader="none"/>
        </w:tabs>
        <w:ind w:start="690" w:end="0"/>
        <w:rPr>
          <w:rFonts w:ascii="Times New Roman" w:hAnsi="Times New Roman" w:cs="Times New Roman"/>
          <w:sz w:val="20"/>
        </w:rPr>
      </w:pPr>
      <w:r>
        <w:rPr>
          <w:rFonts w:cs="Times New Roman" w:ascii="Times New Roman" w:hAnsi="Times New Roman"/>
          <w:sz w:val="20"/>
        </w:rPr>
        <w:t>1. Maintenance Billing Demand shall be the kilowatts of demand scheduled by customer with Company multiplied by the number of calendar days that Maintenance Service is supplied by Company.</w:t>
      </w:r>
    </w:p>
    <w:p>
      <w:pPr>
        <w:pStyle w:val="Normal"/>
        <w:tabs>
          <w:tab w:val="clear" w:pos="720"/>
          <w:tab w:val="left" w:pos="690" w:leader="none"/>
          <w:tab w:val="left" w:pos="1380" w:leader="none"/>
        </w:tabs>
        <w:ind w:start="690" w:end="0"/>
        <w:rPr>
          <w:rFonts w:ascii="Times New Roman" w:hAnsi="Times New Roman" w:cs="Times New Roman"/>
          <w:sz w:val="20"/>
        </w:rPr>
      </w:pPr>
      <w:r>
        <w:rPr>
          <w:rFonts w:cs="Times New Roman" w:ascii="Times New Roman" w:hAnsi="Times New Roman"/>
          <w:sz w:val="20"/>
        </w:rPr>
      </w:r>
    </w:p>
    <w:p>
      <w:pPr>
        <w:pStyle w:val="Normal"/>
        <w:tabs>
          <w:tab w:val="clear" w:pos="720"/>
          <w:tab w:val="left" w:pos="690" w:leader="none"/>
          <w:tab w:val="left" w:pos="1380" w:leader="none"/>
        </w:tabs>
        <w:ind w:start="690" w:end="0"/>
        <w:rPr>
          <w:rFonts w:ascii="Arial" w:hAnsi="Arial" w:cs="Arial"/>
          <w:sz w:val="20"/>
        </w:rPr>
      </w:pPr>
      <w:r>
        <w:rPr>
          <w:rFonts w:cs="Times New Roman" w:ascii="Times New Roman" w:hAnsi="Times New Roman"/>
          <w:sz w:val="20"/>
        </w:rPr>
        <w:t xml:space="preserve">2. Backup Billing Demand, determined by meter measurements, shall be the sum of the </w:t>
      </w:r>
      <w:r>
        <w:rPr>
          <w:rFonts w:cs="Bookman Old Style" w:ascii="Bookman Old Style" w:hAnsi="Bookman Old Style"/>
          <w:sz w:val="20"/>
        </w:rPr>
        <w:t>greatest fifteen minute peak occurring during the Peak hours period within</w:t>
      </w:r>
      <w:r>
        <w:rPr>
          <w:rFonts w:cs="Times New Roman" w:ascii="Times New Roman" w:hAnsi="Times New Roman"/>
          <w:sz w:val="20"/>
        </w:rPr>
        <w:t xml:space="preserve"> each calendar day of use during the month measured in kilowatts.</w:t>
      </w:r>
    </w:p>
    <w:p>
      <w:pPr>
        <w:pStyle w:val="Normal"/>
        <w:tabs>
          <w:tab w:val="clear" w:pos="720"/>
          <w:tab w:val="left" w:pos="690" w:leader="none"/>
          <w:tab w:val="left" w:pos="1380" w:leader="none"/>
        </w:tabs>
        <w:ind w:start="690" w:end="0"/>
        <w:rPr>
          <w:rFonts w:ascii="Bookman Old Style" w:hAnsi="Bookman Old Style" w:cs="Bookman Old Style"/>
          <w:sz w:val="20"/>
        </w:rPr>
      </w:pPr>
      <w:r>
        <w:rPr>
          <w:rFonts w:cs="Bookman Old Style" w:ascii="Bookman Old Style" w:hAnsi="Bookman Old Style"/>
          <w:sz w:val="20"/>
        </w:rPr>
      </w:r>
    </w:p>
    <w:p>
      <w:pPr>
        <w:sectPr>
          <w:type w:val="nextPage"/>
          <w:pgSz w:w="12240" w:h="15840"/>
          <w:pgMar w:left="720" w:right="720" w:gutter="0" w:header="0" w:top="792" w:footer="0" w:bottom="648"/>
          <w:pgNumType w:fmt="decimal"/>
          <w:formProt w:val="false"/>
          <w:textDirection w:val="lrTb"/>
          <w:docGrid w:type="default" w:linePitch="360" w:charSpace="0"/>
        </w:sect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2016" w:leader="none"/>
        </w:tabs>
        <w:jc w:val="end"/>
        <w:rPr>
          <w:rFonts w:ascii="Bookman Old Style" w:hAnsi="Bookman Old Style" w:cs="Bookman Old Style"/>
          <w:sz w:val="20"/>
        </w:rPr>
      </w:pPr>
      <w:r>
        <w:rPr>
          <w:rFonts w:cs="Bookman Old Style" w:ascii="Bookman Old Style" w:hAnsi="Bookman Old Style"/>
          <w:sz w:val="20"/>
        </w:rPr>
        <w:t>M. D. T. E. No. XXXX</w:t>
      </w:r>
    </w:p>
    <w:p>
      <w:pPr>
        <w:pStyle w:val="Normal"/>
        <w:tabs>
          <w:tab w:val="clear" w:pos="720"/>
          <w:tab w:val="left" w:pos="0" w:leader="none"/>
          <w:tab w:val="right" w:pos="2016" w:leader="none"/>
        </w:tabs>
        <w:jc w:val="end"/>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1260" w:leader="none"/>
          <w:tab w:val="left" w:pos="2520" w:leader="none"/>
          <w:tab w:val="right" w:pos="3276" w:leader="none"/>
        </w:tabs>
        <w:ind w:start="1260" w:end="0"/>
        <w:jc w:val="end"/>
        <w:rPr>
          <w:rFonts w:ascii="Bookman Old Style" w:hAnsi="Bookman Old Style" w:cs="Bookman Old Style"/>
          <w:sz w:val="20"/>
        </w:rPr>
      </w:pPr>
      <w:r>
        <w:rPr>
          <w:rFonts w:cs="Bookman Old Style" w:ascii="Bookman Old Style" w:hAnsi="Bookman Old Style"/>
          <w:sz w:val="20"/>
        </w:rPr>
        <w:t>Sheet 3</w:t>
      </w:r>
    </w:p>
    <w:p>
      <w:pPr>
        <w:pStyle w:val="Normal"/>
        <w:tabs>
          <w:tab w:val="clear" w:pos="720"/>
          <w:tab w:val="left" w:pos="0" w:leader="none"/>
          <w:tab w:val="left" w:pos="1260" w:leader="none"/>
          <w:tab w:val="right" w:pos="2016"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3891" w:leader="none"/>
        </w:tabs>
        <w:jc w:val="center"/>
        <w:rPr>
          <w:rFonts w:ascii="Bookman Old Style" w:hAnsi="Bookman Old Style" w:cs="Bookman Old Style"/>
          <w:sz w:val="20"/>
        </w:rPr>
      </w:pPr>
      <w:r>
        <w:rPr>
          <w:rFonts w:cs="Bookman Old Style" w:ascii="Bookman Old Style" w:hAnsi="Bookman Old Style"/>
          <w:sz w:val="20"/>
        </w:rPr>
        <w:t>MASSACHUSETTS ELECTRIC COMPANY</w:t>
      </w:r>
    </w:p>
    <w:p>
      <w:pPr>
        <w:pStyle w:val="Normal"/>
        <w:tabs>
          <w:tab w:val="clear" w:pos="720"/>
          <w:tab w:val="left" w:pos="0" w:leader="none"/>
          <w:tab w:val="right" w:pos="3891"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524" w:leader="none"/>
          <w:tab w:val="right" w:pos="3366" w:leader="none"/>
        </w:tabs>
        <w:jc w:val="center"/>
        <w:rPr>
          <w:rFonts w:ascii="Bookman Old Style" w:hAnsi="Bookman Old Style" w:cs="Bookman Old Style"/>
          <w:sz w:val="18"/>
        </w:rPr>
      </w:pPr>
      <w:r>
        <w:rPr>
          <w:rFonts w:cs="Bookman Old Style" w:ascii="Bookman Old Style" w:hAnsi="Bookman Old Style"/>
          <w:sz w:val="18"/>
        </w:rPr>
        <w:t>TIME-OF-USE - SDS-3</w:t>
      </w:r>
    </w:p>
    <w:p>
      <w:pPr>
        <w:pStyle w:val="Normal"/>
        <w:tabs>
          <w:tab w:val="clear" w:pos="720"/>
          <w:tab w:val="left" w:pos="0" w:leader="none"/>
          <w:tab w:val="left" w:pos="524" w:leader="none"/>
          <w:tab w:val="right" w:pos="3366" w:leader="none"/>
        </w:tabs>
        <w:jc w:val="center"/>
        <w:rPr>
          <w:rFonts w:ascii="Bookman Old Style" w:hAnsi="Bookman Old Style" w:cs="Bookman Old Style"/>
          <w:sz w:val="20"/>
        </w:rPr>
      </w:pPr>
      <w:r>
        <w:rPr>
          <w:rFonts w:cs="Bookman Old Style" w:ascii="Bookman Old Style" w:hAnsi="Bookman Old Style"/>
          <w:sz w:val="20"/>
        </w:rPr>
        <w:t>RETAIL STANDBY DELIVERY SERVICE</w:t>
      </w:r>
    </w:p>
    <w:p>
      <w:pPr>
        <w:pStyle w:val="Normal"/>
        <w:tabs>
          <w:tab w:val="clear" w:pos="720"/>
          <w:tab w:val="left" w:pos="0" w:leader="none"/>
          <w:tab w:val="left" w:pos="524" w:leader="none"/>
          <w:tab w:val="right" w:pos="3366"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4311" w:leader="none"/>
        </w:tabs>
        <w:rPr>
          <w:rFonts w:ascii="Bookman Old Style" w:hAnsi="Bookman Old Style" w:cs="Bookman Old Style"/>
          <w:sz w:val="20"/>
        </w:rPr>
      </w:pPr>
      <w:r>
        <w:rPr>
          <w:rFonts w:cs="Bookman Old Style" w:ascii="Bookman Old Style" w:hAnsi="Bookman Old Style"/>
          <w:sz w:val="20"/>
        </w:rPr>
        <w:t>HIGH-VOLTAGE METERING ADJUSTMENT</w:t>
      </w:r>
    </w:p>
    <w:p>
      <w:pPr>
        <w:pStyle w:val="Normal"/>
        <w:tabs>
          <w:tab w:val="clear" w:pos="720"/>
          <w:tab w:val="left" w:pos="0" w:leader="none"/>
          <w:tab w:val="right" w:pos="4311"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The Company reserves the right to determine the metering installation. Where delivery service is metered at the Company's supply line voltage, in no case less than 2400 volts, thereby saving the Company transformer losses, a discount of 1.0% will be allowed from the amount determined under the preceding provisions.</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When the metering equipment is installed on the Customer's side of the transformers and the nameplate transformer rating is greater than 120 percent of the Customer's highest demand over the last twelve months, the Company may adjust the Kw, Kva, and Kwh meter registrations or adjust electronic meter program settings to compensate for unmetered transformer losses.</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4086" w:leader="none"/>
        </w:tabs>
        <w:rPr>
          <w:rFonts w:ascii="Bookman Old Style" w:hAnsi="Bookman Old Style" w:cs="Bookman Old Style"/>
          <w:sz w:val="20"/>
        </w:rPr>
      </w:pPr>
      <w:r>
        <w:rPr>
          <w:rFonts w:cs="Bookman Old Style" w:ascii="Bookman Old Style" w:hAnsi="Bookman Old Style"/>
          <w:sz w:val="20"/>
        </w:rPr>
        <w:t>CREDIT FOR HIGH VOLTAGE DELIVERY</w:t>
      </w:r>
    </w:p>
    <w:p>
      <w:pPr>
        <w:pStyle w:val="Normal"/>
        <w:tabs>
          <w:tab w:val="clear" w:pos="720"/>
          <w:tab w:val="left" w:pos="0" w:leader="none"/>
          <w:tab w:val="right" w:pos="4086"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If the Customer accepts delivery at the Company's supply line voltage, not less than 2400 volts, and the Company is saved the cost of installing any transformer and associated equipment, a credit of 45 cents per kilowatt of the billing Distribution Demand Charge for such month shall be allowed against the amount determined under the preceding provisions.</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An additional credit of $2.14 per kilowatt of the billing Distribution Demand Charge for such month shall also be allowed if said customer accepts delivery at not less than 115,000 volts, and the Company is saved the cost of installing any transformer and associated equipment.</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2301" w:leader="none"/>
        </w:tabs>
        <w:rPr>
          <w:rFonts w:ascii="Bookman Old Style" w:hAnsi="Bookman Old Style" w:cs="Bookman Old Style"/>
          <w:sz w:val="20"/>
        </w:rPr>
      </w:pPr>
      <w:r>
        <w:rPr>
          <w:rFonts w:cs="Bookman Old Style" w:ascii="Bookman Old Style" w:hAnsi="Bookman Old Style"/>
          <w:sz w:val="20"/>
        </w:rPr>
        <w:t>STANDARD SERVICE</w:t>
      </w:r>
    </w:p>
    <w:p>
      <w:pPr>
        <w:pStyle w:val="Normal"/>
        <w:tabs>
          <w:tab w:val="clear" w:pos="720"/>
          <w:tab w:val="left" w:pos="0" w:leader="none"/>
          <w:tab w:val="right" w:pos="2301"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A Customer served on this rate as of March 1, 1998 must take Standard Service and pay the Standard Service Charge until the Customer chooses to purchase electricity from a supplier other than the Company. A Customer who notifies the Company of termination of generation service from a public aggregator within 180 days of the date on which such service began shall be eligible to return to Standard Service pursuant to this provision. Standard Service will continue through February 28, 2005.</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The Standard Service Charge under this rate shall be calculated in accordance with the Company's Standard Service Cost Adjustment Provision.</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Standard Service may be terminated by a Customer concurrent with the Customer's next scheduled meter read date provided that notice of initiation of generation service by a competitive supplier is received by the Company two (2) or more business days before the next scheduled meter read date, in accordance with the Company's Terms and Conditions for Competitive Suppliers. Notice must be provided by the Competitive Supplier.</w:t>
      </w:r>
    </w:p>
    <w:p>
      <w:pPr>
        <w:pStyle w:val="Normal"/>
        <w:tabs>
          <w:tab w:val="clear" w:pos="720"/>
          <w:tab w:val="left" w:pos="0" w:leader="none"/>
          <w:tab w:val="left" w:pos="69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t>If the notice of initiation of generation service by the competitive supplier is received by the Company fewer than two days before the Customer's next scheduled meter read date, Standard Service shall be terminated concurrent with the Customer's subsequent scheduled meter read date.</w:t>
      </w:r>
    </w:p>
    <w:p>
      <w:pPr>
        <w:sectPr>
          <w:type w:val="nextPage"/>
          <w:pgSz w:w="12240" w:h="15840"/>
          <w:pgMar w:left="720" w:right="720" w:gutter="0" w:header="0" w:top="792" w:footer="0" w:bottom="648"/>
          <w:pgNumType w:fmt="decimal"/>
          <w:formProt w:val="false"/>
          <w:textDirection w:val="lrTb"/>
          <w:docGrid w:type="default" w:linePitch="360" w:charSpace="0"/>
        </w:sectPr>
        <w:pStyle w:val="Normal"/>
        <w:tabs>
          <w:tab w:val="clear" w:pos="720"/>
          <w:tab w:val="left" w:pos="0" w:leader="none"/>
          <w:tab w:val="left" w:pos="690" w:leader="none"/>
        </w:tabs>
        <w:ind w:firstLine="690" w:end="0"/>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2017" w:leader="none"/>
        </w:tabs>
        <w:ind w:firstLine="690" w:end="0"/>
        <w:jc w:val="end"/>
        <w:rPr>
          <w:rFonts w:ascii="Bookman Old Style" w:hAnsi="Bookman Old Style" w:cs="Bookman Old Style"/>
          <w:sz w:val="18"/>
        </w:rPr>
      </w:pPr>
      <w:r>
        <w:rPr>
          <w:rFonts w:cs="Bookman Old Style" w:ascii="Bookman Old Style" w:hAnsi="Bookman Old Style"/>
          <w:sz w:val="18"/>
        </w:rPr>
        <w:t>M. D. T. E. No. XXXXX</w:t>
      </w:r>
    </w:p>
    <w:p>
      <w:pPr>
        <w:pStyle w:val="Normal"/>
        <w:tabs>
          <w:tab w:val="clear" w:pos="720"/>
          <w:tab w:val="left" w:pos="0" w:leader="none"/>
          <w:tab w:val="right" w:pos="2017" w:leader="none"/>
        </w:tabs>
        <w:ind w:firstLine="690" w:end="0"/>
        <w:jc w:val="end"/>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right" w:pos="2017" w:leader="none"/>
        </w:tabs>
        <w:ind w:firstLine="690" w:end="0"/>
        <w:jc w:val="end"/>
        <w:rPr>
          <w:rFonts w:ascii="Bookman Old Style" w:hAnsi="Bookman Old Style" w:cs="Bookman Old Style"/>
          <w:sz w:val="20"/>
        </w:rPr>
      </w:pPr>
      <w:r>
        <w:rPr>
          <w:rFonts w:cs="Bookman Old Style" w:ascii="Bookman Old Style" w:hAnsi="Bookman Old Style"/>
          <w:sz w:val="20"/>
        </w:rPr>
        <w:t>Sheet 4</w:t>
      </w:r>
    </w:p>
    <w:p>
      <w:pPr>
        <w:pStyle w:val="Normal"/>
        <w:tabs>
          <w:tab w:val="clear" w:pos="720"/>
          <w:tab w:val="left" w:pos="0" w:leader="none"/>
          <w:tab w:val="right" w:pos="2017" w:leader="none"/>
        </w:tabs>
        <w:ind w:firstLine="690" w:end="0"/>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3892" w:leader="none"/>
        </w:tabs>
        <w:ind w:firstLine="690" w:end="0"/>
        <w:jc w:val="center"/>
        <w:rPr>
          <w:rFonts w:ascii="Bookman Old Style" w:hAnsi="Bookman Old Style" w:cs="Bookman Old Style"/>
          <w:sz w:val="18"/>
        </w:rPr>
      </w:pPr>
      <w:r>
        <w:rPr>
          <w:rFonts w:cs="Bookman Old Style" w:ascii="Bookman Old Style" w:hAnsi="Bookman Old Style"/>
          <w:sz w:val="18"/>
        </w:rPr>
        <w:t>MASSACHUSETTS ELECTRIC COMPANY</w:t>
      </w:r>
    </w:p>
    <w:p>
      <w:pPr>
        <w:pStyle w:val="Normal"/>
        <w:tabs>
          <w:tab w:val="clear" w:pos="720"/>
          <w:tab w:val="left" w:pos="0" w:leader="none"/>
          <w:tab w:val="right" w:pos="3892" w:leader="none"/>
        </w:tabs>
        <w:ind w:firstLine="690" w:end="0"/>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left" w:pos="524" w:leader="none"/>
          <w:tab w:val="right" w:pos="3367" w:leader="none"/>
        </w:tabs>
        <w:ind w:firstLine="690" w:end="0"/>
        <w:jc w:val="center"/>
        <w:rPr>
          <w:rFonts w:ascii="Bookman Old Style" w:hAnsi="Bookman Old Style" w:cs="Bookman Old Style"/>
          <w:sz w:val="18"/>
        </w:rPr>
      </w:pPr>
      <w:r>
        <w:rPr>
          <w:rFonts w:cs="Bookman Old Style" w:ascii="Bookman Old Style" w:hAnsi="Bookman Old Style"/>
          <w:sz w:val="18"/>
        </w:rPr>
        <w:t>TIME-OF-USE - SDS-3</w:t>
      </w:r>
    </w:p>
    <w:p>
      <w:pPr>
        <w:pStyle w:val="Normal"/>
        <w:tabs>
          <w:tab w:val="clear" w:pos="720"/>
          <w:tab w:val="left" w:pos="0" w:leader="none"/>
          <w:tab w:val="left" w:pos="524" w:leader="none"/>
          <w:tab w:val="right" w:pos="3367" w:leader="none"/>
        </w:tabs>
        <w:ind w:firstLine="690" w:end="0"/>
        <w:jc w:val="center"/>
        <w:rPr>
          <w:rFonts w:ascii="Bookman Old Style" w:hAnsi="Bookman Old Style" w:cs="Bookman Old Style"/>
          <w:sz w:val="18"/>
        </w:rPr>
      </w:pPr>
      <w:r>
        <w:rPr>
          <w:rFonts w:cs="Bookman Old Style" w:ascii="Bookman Old Style" w:hAnsi="Bookman Old Style"/>
          <w:sz w:val="18"/>
        </w:rPr>
        <w:t>RETAIL STANDBY DELIVERY SERVICE</w:t>
      </w:r>
    </w:p>
    <w:p>
      <w:pPr>
        <w:pStyle w:val="Normal"/>
        <w:tabs>
          <w:tab w:val="clear" w:pos="720"/>
          <w:tab w:val="left" w:pos="0" w:leader="none"/>
          <w:tab w:val="left" w:pos="524" w:leader="none"/>
          <w:tab w:val="right" w:pos="3367" w:leader="none"/>
        </w:tabs>
        <w:ind w:firstLine="690" w:end="0"/>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right" w:pos="2137" w:leader="none"/>
        </w:tabs>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right" w:pos="2077" w:leader="none"/>
        </w:tabs>
        <w:rPr>
          <w:rFonts w:ascii="Bookman Old Style" w:hAnsi="Bookman Old Style" w:cs="Bookman Old Style"/>
          <w:sz w:val="18"/>
        </w:rPr>
      </w:pPr>
      <w:r>
        <w:rPr>
          <w:rFonts w:cs="Bookman Old Style" w:ascii="Bookman Old Style" w:hAnsi="Bookman Old Style"/>
          <w:sz w:val="18"/>
        </w:rPr>
        <w:t>TERM OF SERVICE</w:t>
      </w:r>
    </w:p>
    <w:p>
      <w:pPr>
        <w:pStyle w:val="Normal"/>
        <w:tabs>
          <w:tab w:val="clear" w:pos="720"/>
          <w:tab w:val="left" w:pos="0" w:leader="none"/>
          <w:tab w:val="right" w:pos="2077" w:leader="none"/>
        </w:tabs>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left" w:pos="750" w:leader="none"/>
        </w:tabs>
        <w:ind w:firstLine="750" w:end="0"/>
        <w:rPr/>
      </w:pPr>
      <w:r>
        <w:rPr>
          <w:rFonts w:cs="Bookman Old Style" w:ascii="Bookman Old Style" w:hAnsi="Bookman Old Style"/>
          <w:sz w:val="18"/>
        </w:rPr>
        <w:t xml:space="preserve">Customers served under this rate must provide the Company with six months prior written notice before installing or allowing to be installed for its use a non-emergency generator with a nameplate capacity greater than that in place on the Customer's location as of March 1, 1998. This </w:t>
      </w:r>
      <w:r>
        <w:rPr>
          <w:rFonts w:cs="Bookman Old Style" w:ascii="Bookman Old Style" w:hAnsi="Bookman Old Style"/>
          <w:sz w:val="20"/>
        </w:rPr>
        <w:t>notice provision does not apply to facilities eligible for net metering in accordance with 220 CMR 11.03(4)(d).</w:t>
      </w:r>
    </w:p>
    <w:p>
      <w:pPr>
        <w:pStyle w:val="Normal"/>
        <w:tabs>
          <w:tab w:val="clear" w:pos="720"/>
          <w:tab w:val="left" w:pos="0" w:leader="none"/>
          <w:tab w:val="left" w:pos="75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1957" w:leader="none"/>
        </w:tabs>
        <w:rPr>
          <w:rFonts w:ascii="Bookman Old Style" w:hAnsi="Bookman Old Style" w:cs="Bookman Old Style"/>
          <w:sz w:val="20"/>
        </w:rPr>
      </w:pPr>
      <w:r>
        <w:rPr>
          <w:rFonts w:cs="Bookman Old Style" w:ascii="Bookman Old Style" w:hAnsi="Bookman Old Style"/>
          <w:sz w:val="20"/>
        </w:rPr>
        <w:t>FARM DISCOUNT</w:t>
      </w:r>
    </w:p>
    <w:p>
      <w:pPr>
        <w:pStyle w:val="Normal"/>
        <w:tabs>
          <w:tab w:val="clear" w:pos="720"/>
          <w:tab w:val="left" w:pos="0" w:leader="none"/>
          <w:tab w:val="right" w:pos="1957"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750" w:leader="none"/>
        </w:tabs>
        <w:ind w:firstLine="750" w:end="0"/>
        <w:rPr/>
      </w:pPr>
      <w:r>
        <w:rPr>
          <w:rFonts w:cs="Bookman Old Style" w:ascii="Bookman Old Style" w:hAnsi="Bookman Old Style"/>
          <w:sz w:val="20"/>
        </w:rPr>
        <w:t xml:space="preserve">Customers who meet the eligibility requirements for being engaged in the business of agriculture or farming as defined in M.G.L. Chapter </w:t>
      </w:r>
      <w:r>
        <w:rPr>
          <w:rFonts w:cs="Bookman Old Style" w:ascii="Bookman Old Style" w:hAnsi="Bookman Old Style"/>
          <w:sz w:val="18"/>
        </w:rPr>
        <w:t xml:space="preserve">128 </w:t>
      </w:r>
      <w:r>
        <w:rPr>
          <w:rFonts w:cs="Bookman Old Style" w:ascii="Bookman Old Style" w:hAnsi="Bookman Old Style"/>
          <w:sz w:val="20"/>
        </w:rPr>
        <w:t>Section la at their service location are eligible for an additional discount from their distribution service rates. The discount will be calculated as 10% of the Customer's total bill for service provided by the Company before application of this discount. Customers who meet the requirements of this section must provide the Company with appropriate documentation of their eligibility under this provision.</w:t>
      </w:r>
    </w:p>
    <w:p>
      <w:pPr>
        <w:pStyle w:val="Normal"/>
        <w:tabs>
          <w:tab w:val="clear" w:pos="720"/>
          <w:tab w:val="left" w:pos="0" w:leader="none"/>
          <w:tab w:val="left" w:pos="75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4807" w:leader="none"/>
        </w:tabs>
        <w:rPr>
          <w:rFonts w:ascii="Bookman Old Style" w:hAnsi="Bookman Old Style" w:cs="Bookman Old Style"/>
          <w:sz w:val="20"/>
        </w:rPr>
      </w:pPr>
      <w:r>
        <w:rPr>
          <w:rFonts w:cs="Bookman Old Style" w:ascii="Bookman Old Style" w:hAnsi="Bookman Old Style"/>
          <w:sz w:val="20"/>
        </w:rPr>
        <w:t>SERVICE EXTENSION DISCOUNT AGREEMENTS</w:t>
      </w:r>
    </w:p>
    <w:p>
      <w:pPr>
        <w:pStyle w:val="Normal"/>
        <w:tabs>
          <w:tab w:val="clear" w:pos="720"/>
          <w:tab w:val="left" w:pos="0" w:leader="none"/>
          <w:tab w:val="right" w:pos="4807"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750" w:leader="none"/>
        </w:tabs>
        <w:ind w:firstLine="750" w:end="0"/>
        <w:rPr>
          <w:rFonts w:ascii="Bookman Old Style" w:hAnsi="Bookman Old Style" w:cs="Bookman Old Style"/>
          <w:sz w:val="20"/>
        </w:rPr>
      </w:pPr>
      <w:r>
        <w:rPr>
          <w:rFonts w:cs="Bookman Old Style" w:ascii="Bookman Old Style" w:hAnsi="Bookman Old Style"/>
          <w:sz w:val="20"/>
        </w:rPr>
        <w:t>Customers who signed a Service Extension Discount agreement prior to February 26, 1997 have agreed to provide the Company with five years prior written notice before installing or allowing to be installed a nonemergency generator for its use with a nameplate capacity greater than that in place on the Customer's location as of October 1, 1993. This notice shall be deemed to have been given on the effective date of this rate.</w:t>
      </w:r>
    </w:p>
    <w:p>
      <w:pPr>
        <w:pStyle w:val="Normal"/>
        <w:tabs>
          <w:tab w:val="clear" w:pos="720"/>
          <w:tab w:val="left" w:pos="0" w:leader="none"/>
          <w:tab w:val="left" w:pos="75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left" w:pos="750" w:leader="none"/>
        </w:tabs>
        <w:ind w:firstLine="750" w:end="0"/>
        <w:rPr>
          <w:rFonts w:ascii="Bookman Old Style" w:hAnsi="Bookman Old Style" w:cs="Bookman Old Style"/>
          <w:sz w:val="20"/>
        </w:rPr>
      </w:pPr>
      <w:r>
        <w:rPr>
          <w:rFonts w:cs="Bookman Old Style" w:ascii="Bookman Old Style" w:hAnsi="Bookman Old Style"/>
          <w:sz w:val="20"/>
        </w:rPr>
        <w:t>Any Customer giving notice under its service agreement of its intent to install or to allow to be installed such a non-emergency generator shall have the option to shorten the notice period to three years by repaying 120 percent of all Service Extension Discounts received from the Company over the prior two years and the Company shall credit the repayments to the fund established to pay Environmental Response Costs pursuant to the Offer of Settlement approved by the Department effective December 1, 1993.</w:t>
      </w:r>
    </w:p>
    <w:p>
      <w:pPr>
        <w:pStyle w:val="Normal"/>
        <w:tabs>
          <w:tab w:val="clear" w:pos="720"/>
          <w:tab w:val="left" w:pos="0" w:leader="none"/>
          <w:tab w:val="left" w:pos="75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2752" w:leader="none"/>
        </w:tabs>
        <w:rPr>
          <w:rFonts w:ascii="Bookman Old Style" w:hAnsi="Bookman Old Style" w:cs="Bookman Old Style"/>
          <w:sz w:val="18"/>
        </w:rPr>
      </w:pPr>
      <w:r>
        <w:rPr>
          <w:rFonts w:cs="Bookman Old Style" w:ascii="Bookman Old Style" w:hAnsi="Bookman Old Style"/>
          <w:sz w:val="18"/>
        </w:rPr>
        <w:t>TERMS AND CONDITIONS</w:t>
      </w:r>
    </w:p>
    <w:p>
      <w:pPr>
        <w:pStyle w:val="Normal"/>
        <w:tabs>
          <w:tab w:val="clear" w:pos="720"/>
          <w:tab w:val="left" w:pos="0" w:leader="none"/>
          <w:tab w:val="right" w:pos="2752" w:leader="none"/>
        </w:tabs>
        <w:rPr>
          <w:rFonts w:ascii="Bookman Old Style" w:hAnsi="Bookman Old Style" w:cs="Bookman Old Style"/>
          <w:sz w:val="18"/>
        </w:rPr>
      </w:pPr>
      <w:r>
        <w:rPr>
          <w:rFonts w:cs="Bookman Old Style" w:ascii="Bookman Old Style" w:hAnsi="Bookman Old Style"/>
          <w:sz w:val="18"/>
        </w:rPr>
      </w:r>
    </w:p>
    <w:p>
      <w:pPr>
        <w:pStyle w:val="Normal"/>
        <w:tabs>
          <w:tab w:val="clear" w:pos="720"/>
          <w:tab w:val="left" w:pos="0" w:leader="none"/>
          <w:tab w:val="left" w:pos="750" w:leader="none"/>
        </w:tabs>
        <w:ind w:firstLine="750" w:end="0"/>
        <w:rPr>
          <w:rFonts w:ascii="Bookman Old Style" w:hAnsi="Bookman Old Style" w:cs="Bookman Old Style"/>
          <w:sz w:val="20"/>
        </w:rPr>
      </w:pPr>
      <w:r>
        <w:rPr>
          <w:rFonts w:cs="Bookman Old Style" w:ascii="Bookman Old Style" w:hAnsi="Bookman Old Style"/>
          <w:sz w:val="20"/>
        </w:rPr>
        <w:t>The Company's Terms and Conditions in effect from time to time, where not inconsistent with any specific provisions hereof, are a part of this rate.</w:t>
      </w:r>
    </w:p>
    <w:p>
      <w:pPr>
        <w:pStyle w:val="Normal"/>
        <w:tabs>
          <w:tab w:val="clear" w:pos="720"/>
          <w:tab w:val="left" w:pos="0" w:leader="none"/>
          <w:tab w:val="left" w:pos="750"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5084" w:leader="none"/>
          <w:tab w:val="left" w:pos="10168" w:leader="none"/>
        </w:tabs>
        <w:ind w:start="5084" w:end="0"/>
        <w:rPr>
          <w:rFonts w:ascii="Bookman Old Style" w:hAnsi="Bookman Old Style" w:cs="Bookman Old Style"/>
          <w:sz w:val="20"/>
        </w:rPr>
      </w:pPr>
      <w:r>
        <w:rPr>
          <w:rFonts w:cs="Bookman Old Style" w:ascii="Bookman Old Style" w:hAnsi="Bookman Old Style"/>
          <w:sz w:val="20"/>
        </w:rPr>
        <w:t>Effective XXXX X, 1999</w:t>
      </w:r>
    </w:p>
    <w:p>
      <w:pPr>
        <w:pStyle w:val="Normal"/>
        <w:tabs>
          <w:tab w:val="clear" w:pos="720"/>
          <w:tab w:val="left" w:pos="0" w:leader="none"/>
          <w:tab w:val="left" w:pos="5084" w:leader="none"/>
          <w:tab w:val="right" w:pos="7372" w:leader="none"/>
        </w:tabs>
        <w:rPr>
          <w:rFonts w:ascii="Bookman Old Style" w:hAnsi="Bookman Old Style" w:cs="Bookman Old Style"/>
          <w:sz w:val="20"/>
        </w:rPr>
      </w:pPr>
      <w:r>
        <w:rPr>
          <w:rFonts w:cs="Bookman Old Style" w:ascii="Bookman Old Style" w:hAnsi="Bookman Old Style"/>
          <w:sz w:val="20"/>
        </w:rPr>
      </w:r>
    </w:p>
    <w:p>
      <w:pPr>
        <w:pStyle w:val="Normal"/>
        <w:tabs>
          <w:tab w:val="clear" w:pos="720"/>
          <w:tab w:val="left" w:pos="0" w:leader="none"/>
          <w:tab w:val="right" w:pos="1447" w:leader="none"/>
        </w:tabs>
        <w:rPr>
          <w:rFonts w:ascii="Bookman Old Style" w:hAnsi="Bookman Old Style" w:cs="Bookman Old Style"/>
          <w:b/>
          <w:sz w:val="12"/>
        </w:rPr>
      </w:pPr>
      <w:r>
        <w:rPr>
          <w:rFonts w:cs="Bookman Old Style" w:ascii="Bookman Old Style" w:hAnsi="Bookman Old Style"/>
          <w:b/>
          <w:sz w:val="12"/>
        </w:rPr>
      </w:r>
    </w:p>
    <w:p>
      <w:pPr>
        <w:pStyle w:val="Normal"/>
        <w:tabs>
          <w:tab w:val="clear" w:pos="720"/>
          <w:tab w:val="left" w:pos="0" w:leader="none"/>
          <w:tab w:val="right" w:pos="1447" w:leader="none"/>
        </w:tabs>
        <w:rPr>
          <w:rFonts w:ascii="Bookman Old Style" w:hAnsi="Bookman Old Style" w:cs="Bookman Old Style"/>
          <w:b/>
          <w:sz w:val="12"/>
        </w:rPr>
      </w:pPr>
      <w:r>
        <w:rPr>
          <w:rFonts w:cs="Bookman Old Style" w:ascii="Bookman Old Style" w:hAnsi="Bookman Old Style"/>
          <w:b/>
          <w:sz w:val="12"/>
        </w:rPr>
      </w:r>
    </w:p>
    <w:sectPr>
      <w:type w:val="nextPage"/>
      <w:pgSz w:w="12240" w:h="15840"/>
      <w:pgMar w:left="720" w:right="720" w:gutter="0" w:header="0" w:top="792" w:footer="0" w:bottom="6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Bookman Old Style">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254" w:leader="none"/>
        <w:tab w:val="left" w:pos="508" w:leader="none"/>
      </w:tabs>
      <w:ind w:hanging="0" w:start="259" w:end="-432"/>
    </w:pPr>
    <w:rPr>
      <w:rFonts w:ascii="Bookman Old Style" w:hAnsi="Bookman Old Style" w:cs="Bookman Old Style"/>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1998-12-10T19:40:00Z</dcterms:created>
  <dc:creator>Paul Gromer</dc:creator>
  <dc:description/>
  <dc:language>en-CA</dc:language>
  <cp:lastModifiedBy>Paul Gromer</cp:lastModifiedBy>
  <cp:lastPrinted>1998-12-10T17:15:00Z</cp:lastPrinted>
  <dcterms:modified xsi:type="dcterms:W3CDTF">1998-12-10T19:49:00Z</dcterms:modified>
  <cp:revision>2</cp:revision>
  <dc:subject/>
  <dc:title/>
</cp:coreProperties>
</file>