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00"/>
        <w:rPr/>
      </w:pPr>
      <w:r>
        <w:rPr/>
        <w:t xml:space="preserve">ENRON Support for an Electric </w:t>
      </w:r>
      <w:del w:id="0" w:author="cyeung" w:date="2001-10-26T09:18:00Z">
        <w:r>
          <w:rPr/>
          <w:delText xml:space="preserve">Wholesale </w:delText>
        </w:r>
      </w:del>
      <w:r>
        <w:rPr/>
        <w:t xml:space="preserve">Standards </w:t>
      </w:r>
      <w:ins w:id="1" w:author="cyeung" w:date="2001-10-26T09:19:00Z">
        <w:r>
          <w:rPr/>
          <w:t xml:space="preserve">Setting </w:t>
        </w:r>
      </w:ins>
      <w:r>
        <w:rPr/>
        <w:t>Organization</w:t>
      </w:r>
    </w:p>
    <w:p>
      <w:pPr>
        <w:pStyle w:val="Normal"/>
        <w:spacing w:before="0" w:after="100"/>
        <w:rPr/>
      </w:pPr>
      <w:r>
        <w:rPr/>
      </w:r>
    </w:p>
    <w:p>
      <w:pPr>
        <w:pStyle w:val="Normal"/>
        <w:spacing w:before="0" w:after="100"/>
        <w:rPr/>
      </w:pPr>
      <w:r>
        <w:rPr/>
        <w:t xml:space="preserve">Enron supports the formation of a single standards setting organization to provide a forum to debate and develop standard practices and procedures for the operation and use of the electric grid.  The need for a single forum is driven by the inextricable ties between reliability requirements and the needs of the market to facilitate scheduling and delivery of commercial transactions.  </w:t>
      </w:r>
    </w:p>
    <w:p>
      <w:pPr>
        <w:pStyle w:val="Normal"/>
        <w:spacing w:before="0" w:after="100"/>
        <w:rPr/>
      </w:pPr>
      <w:r>
        <w:rPr/>
        <w:t xml:space="preserve">Enron recognizes the development of standard practices is best done inside a well structured organization.  Enron does not, however, endorse any organization at this time and is waiting to see how some important issues are addressed before endorsing any organization that seeks to become the industry forum for reliability and commercial standards.   </w:t>
      </w:r>
    </w:p>
    <w:p>
      <w:pPr>
        <w:pStyle w:val="Normal"/>
        <w:spacing w:before="0" w:after="100"/>
        <w:rPr/>
      </w:pPr>
      <w:r>
        <w:rPr/>
        <w:t xml:space="preserve">These are some of the key issues Enron believes that a standards setting organization for commercial and reliability requirements must address:  </w:t>
      </w:r>
    </w:p>
    <w:p>
      <w:pPr>
        <w:pStyle w:val="Normal"/>
        <w:numPr>
          <w:ilvl w:val="0"/>
          <w:numId w:val="2"/>
        </w:numPr>
        <w:spacing w:before="0" w:after="100"/>
        <w:rPr/>
      </w:pPr>
      <w:r>
        <w:rPr>
          <w:b/>
          <w:bCs/>
        </w:rPr>
        <w:t>Scope and Charter</w:t>
      </w:r>
      <w:r>
        <w:rPr/>
        <w:t xml:space="preserve"> of Organization and </w:t>
      </w:r>
      <w:r>
        <w:rPr>
          <w:b/>
          <w:bCs/>
        </w:rPr>
        <w:t>Definition of Commercial and Reliability</w:t>
      </w:r>
      <w:r>
        <w:rPr/>
        <w:t xml:space="preserve"> requirements</w:t>
      </w:r>
    </w:p>
    <w:p>
      <w:pPr>
        <w:pStyle w:val="Normal"/>
        <w:numPr>
          <w:ilvl w:val="0"/>
          <w:numId w:val="2"/>
        </w:numPr>
        <w:spacing w:before="0" w:after="100"/>
        <w:rPr/>
      </w:pPr>
      <w:r>
        <w:rPr/>
        <w:t xml:space="preserve">A </w:t>
      </w:r>
      <w:r>
        <w:rPr>
          <w:b/>
          <w:bCs/>
        </w:rPr>
        <w:t>fair</w:t>
      </w:r>
      <w:r>
        <w:rPr/>
        <w:t xml:space="preserve"> and </w:t>
      </w:r>
      <w:r>
        <w:rPr>
          <w:b/>
          <w:bCs/>
        </w:rPr>
        <w:t>unbiased</w:t>
      </w:r>
      <w:r>
        <w:rPr/>
        <w:t xml:space="preserve"> standards development and approval process</w:t>
      </w:r>
    </w:p>
    <w:p>
      <w:pPr>
        <w:pStyle w:val="Normal"/>
        <w:numPr>
          <w:ilvl w:val="0"/>
          <w:numId w:val="2"/>
        </w:numPr>
        <w:spacing w:before="0" w:after="100"/>
        <w:rPr/>
      </w:pPr>
      <w:r>
        <w:rPr>
          <w:b/>
          <w:bCs/>
        </w:rPr>
        <w:t>Clear authority</w:t>
      </w:r>
      <w:r>
        <w:rPr/>
        <w:t xml:space="preserve"> of the standards by FERC </w:t>
      </w:r>
    </w:p>
    <w:p>
      <w:pPr>
        <w:pStyle w:val="Normal"/>
        <w:numPr>
          <w:ilvl w:val="0"/>
          <w:numId w:val="2"/>
        </w:numPr>
        <w:spacing w:before="0" w:after="100"/>
        <w:rPr/>
      </w:pPr>
      <w:r>
        <w:rPr>
          <w:b/>
          <w:bCs/>
        </w:rPr>
        <w:t>Open Membership</w:t>
      </w:r>
      <w:r>
        <w:rPr/>
        <w:t xml:space="preserve"> that does not enable bias by incumbent utilities or bias by any industry participant</w:t>
      </w:r>
    </w:p>
    <w:p>
      <w:pPr>
        <w:pStyle w:val="Normal"/>
        <w:numPr>
          <w:ilvl w:val="0"/>
          <w:numId w:val="2"/>
        </w:numPr>
        <w:spacing w:before="0" w:after="100"/>
        <w:rPr/>
      </w:pPr>
      <w:r>
        <w:rPr>
          <w:b/>
          <w:bCs/>
        </w:rPr>
        <w:t>Funding</w:t>
      </w:r>
      <w:r>
        <w:rPr/>
        <w:t xml:space="preserve"> that is fair for all users of the wholesale grid</w:t>
      </w:r>
    </w:p>
    <w:p>
      <w:pPr>
        <w:pStyle w:val="Normal"/>
        <w:spacing w:before="0" w:after="100"/>
        <w:rPr/>
      </w:pPr>
      <w:r>
        <w:rPr/>
      </w:r>
    </w:p>
    <w:p>
      <w:pPr>
        <w:pStyle w:val="Heading1"/>
        <w:spacing w:before="0" w:after="100"/>
        <w:ind w:hanging="0" w:start="0"/>
        <w:rPr/>
      </w:pPr>
      <w:r>
        <w:rPr>
          <w:rPrChange w:id="0" w:author="Unknown" w:date="2001-10-26T09:10:00Z"/>
        </w:rPr>
        <w:t>Scope of the Standards Setting Organization - Defining Commercial and Reliability</w:t>
      </w:r>
    </w:p>
    <w:p>
      <w:pPr>
        <w:pStyle w:val="Normal"/>
        <w:spacing w:before="0" w:after="100"/>
        <w:rPr/>
      </w:pPr>
      <w:r>
        <w:rPr/>
        <w:t>Recognizing the critical nature of the electricity industry, standards to ensure reliable operations of the grid  are required.  The Scope and Charter of the standard setting organization (SSO) must not place reliability above commercial matters nor should it place commercial matters above reliability.  Rather, they should complement each other in the same manner in which they are inextricably linked.  In the context of a SSO, business practices, reliability rules and commercial standards should be focused on standards the marketplace must adhere to when a transaction is enabled by the RTO, as well as the manner in which an RTO utilizes market mechanisms to maintain reliability.</w:t>
      </w:r>
      <w:del w:id="3" w:author="cyeung" w:date="2001-10-26T09:20:00Z">
        <w:r>
          <w:rPr/>
          <w:delText xml:space="preserve">.  </w:delText>
        </w:r>
      </w:del>
      <w:r>
        <w:rPr/>
        <w:t>This market interface with physical operation requirements is the inextricable link between markets and reliability</w:t>
      </w:r>
      <w:ins w:id="4" w:author="cyeung" w:date="2001-10-26T09:20:00Z">
        <w:r>
          <w:rPr/>
          <w:t xml:space="preserve"> and so must be the primary focus of the SSO.</w:t>
        </w:r>
      </w:ins>
      <w:del w:id="5" w:author="cyeung" w:date="2001-10-26T09:20:00Z">
        <w:r>
          <w:rPr/>
          <w:delText xml:space="preserve">.  </w:delText>
        </w:r>
      </w:del>
    </w:p>
    <w:p>
      <w:pPr>
        <w:pStyle w:val="Normal"/>
        <w:spacing w:before="0" w:after="100"/>
        <w:rPr/>
      </w:pPr>
      <w:r>
        <w:rPr/>
        <w:t>The standards and procedures for the facilitation of physical transactions that the marketplace wishes to enable may be referred to as “business practices” or “commercial standards.”  These terms should not be confused with similar terms that may be used for commercial standards that do not require physical delivery on the grid.   Some examples of the relevant business practices that are inextricably tied to physical reliability standards and requirements are transmission reservations, tagging and scheduling, and transaction curtailment procedures.   The SSO may attempt to develop other business standards that are divorced from physical operations, such as financial contract language or credit standards</w:t>
      </w:r>
      <w:ins w:id="6" w:author="cyeung" w:date="2001-10-26T09:21:00Z">
        <w:r>
          <w:rPr/>
          <w:t xml:space="preserve"> if its membership seeks to do so</w:t>
        </w:r>
      </w:ins>
      <w:r>
        <w:rPr/>
        <w:t>.</w:t>
      </w:r>
    </w:p>
    <w:p>
      <w:pPr>
        <w:pStyle w:val="Normal"/>
        <w:spacing w:before="0" w:after="100"/>
        <w:rPr/>
      </w:pPr>
      <w:r>
        <w:rPr/>
      </w:r>
    </w:p>
    <w:p>
      <w:pPr>
        <w:pStyle w:val="Heading1"/>
        <w:spacing w:before="0" w:after="100"/>
        <w:ind w:hanging="0" w:start="0"/>
        <w:rPr/>
      </w:pPr>
      <w:r>
        <w:rPr>
          <w:rPrChange w:id="0" w:author="Unknown" w:date="2001-10-26T09:10:00Z"/>
        </w:rPr>
        <w:t>The Standards Approval and Development Process</w:t>
      </w:r>
    </w:p>
    <w:p>
      <w:pPr>
        <w:pStyle w:val="Normal"/>
        <w:spacing w:before="0" w:after="100"/>
        <w:rPr/>
      </w:pPr>
      <w:r>
        <w:rPr/>
        <w:t>Enron believes that any standards and procedures for reliability impact the marketplace.  Under this premise, fair representation and voting is essential to building true consensus standards.   All relevant segments of the wholesale electric industry should be represented.  No one segment should be able to dominate and control the outcome in the standards approval process.   In addition, segments should not be defined and populated in such a way as to provide a single interest with repetitious votes.  Each segment should be able to stand alone, with distinct interests in the industry.</w:t>
      </w:r>
    </w:p>
    <w:p>
      <w:pPr>
        <w:pStyle w:val="Normal"/>
        <w:spacing w:before="0" w:after="100"/>
        <w:rPr/>
      </w:pPr>
      <w:r>
        <w:rPr/>
      </w:r>
    </w:p>
    <w:p>
      <w:pPr>
        <w:pStyle w:val="Heading1"/>
        <w:spacing w:before="0" w:after="100"/>
        <w:ind w:hanging="0" w:start="0"/>
        <w:rPr/>
      </w:pPr>
      <w:r>
        <w:rPr>
          <w:rPrChange w:id="0" w:author="Unknown" w:date="2001-10-26T09:10:00Z"/>
        </w:rPr>
        <w:t>Authority of the Standards Setting Organization</w:t>
      </w:r>
    </w:p>
    <w:p>
      <w:pPr>
        <w:pStyle w:val="Normal"/>
        <w:spacing w:before="0" w:after="100"/>
        <w:rPr/>
      </w:pPr>
      <w:r>
        <w:rPr/>
        <w:t>Enron believes that deference to the standards setting organization comes by way of demonstrating to the regulating bodies that it is able to produce consensus proposals.  FERC will provide enforcement authority for the standards.  This is essential to ensure a right of appeal over any proposed standard since it is not always clear whether a standard has an impact over commerce, which is within the purview of regulatory authorities.  Fair representation in the organization will ensure regulators that the proposed standards coming out of the organization are consensus agreements and will result in few to no protests at the regulatory authority.</w:t>
      </w:r>
    </w:p>
    <w:p>
      <w:pPr>
        <w:pStyle w:val="Normal"/>
        <w:spacing w:before="0" w:after="100"/>
        <w:rPr/>
      </w:pPr>
      <w:r>
        <w:rPr/>
      </w:r>
    </w:p>
    <w:p>
      <w:pPr>
        <w:pStyle w:val="Heading1"/>
        <w:spacing w:before="0" w:after="100"/>
        <w:ind w:hanging="0" w:start="0"/>
        <w:rPr/>
      </w:pPr>
      <w:r>
        <w:rPr>
          <w:rPrChange w:id="0" w:author="Unknown" w:date="2001-10-26T09:10:00Z"/>
        </w:rPr>
        <w:t>Membership of the Standards Setting Organization</w:t>
      </w:r>
    </w:p>
    <w:p>
      <w:pPr>
        <w:pStyle w:val="Normal"/>
        <w:spacing w:before="0" w:after="100"/>
        <w:rPr/>
      </w:pPr>
      <w:r>
        <w:rPr/>
        <w:t>Membership must be open for any interested party.  The definitions of the segments should accommodate any party with a relevant interest to the standards within the Scope and Charter of the organization.</w:t>
      </w:r>
      <w:ins w:id="10" w:author="cyeung" w:date="2001-10-25T15:47:00Z">
        <w:r>
          <w:rPr/>
          <w:t xml:space="preserve">  The </w:t>
        </w:r>
      </w:ins>
      <w:ins w:id="11" w:author="cyeung" w:date="2001-10-26T09:06:00Z">
        <w:r>
          <w:rPr/>
          <w:t xml:space="preserve">membership must also reflect the charter of the SSO.  An SSO that seeks to become the “one-stop shop” for all standards and practices applicable to the wholesale electric grid must be comprised of </w:t>
        </w:r>
      </w:ins>
      <w:ins w:id="12" w:author="cyeung" w:date="2001-10-26T09:09:00Z">
        <w:r>
          <w:rPr/>
          <w:t xml:space="preserve">a comparable mix of </w:t>
        </w:r>
      </w:ins>
      <w:ins w:id="13" w:author="cyeung" w:date="2001-10-26T09:07:00Z">
        <w:r>
          <w:rPr/>
          <w:t>both transmission operators</w:t>
        </w:r>
      </w:ins>
      <w:ins w:id="14" w:author="cyeung" w:date="2001-10-26T09:09:00Z">
        <w:r>
          <w:rPr/>
          <w:t>,</w:t>
        </w:r>
      </w:ins>
      <w:ins w:id="15" w:author="cyeung" w:date="2001-10-26T09:07:00Z">
        <w:r>
          <w:rPr/>
          <w:t xml:space="preserve"> who are responsible for the reliability of the grid, </w:t>
        </w:r>
      </w:ins>
      <w:ins w:id="16" w:author="cyeung" w:date="2001-10-26T09:09:00Z">
        <w:r>
          <w:rPr/>
          <w:t>and transmission</w:t>
        </w:r>
      </w:ins>
      <w:ins w:id="17" w:author="cyeung" w:date="2001-10-26T09:07:00Z">
        <w:r>
          <w:rPr/>
          <w:t xml:space="preserve"> users, who depend on the grid for commerce and their livelihood.  </w:t>
        </w:r>
      </w:ins>
    </w:p>
    <w:p>
      <w:pPr>
        <w:pStyle w:val="Normal"/>
        <w:spacing w:before="0" w:after="100"/>
        <w:rPr/>
      </w:pPr>
      <w:r>
        <w:rPr/>
      </w:r>
    </w:p>
    <w:p>
      <w:pPr>
        <w:pStyle w:val="Heading1"/>
        <w:spacing w:before="0" w:after="100"/>
        <w:ind w:hanging="0" w:start="0"/>
        <w:rPr/>
      </w:pPr>
      <w:r>
        <w:rPr>
          <w:rPrChange w:id="0" w:author="Unknown" w:date="2001-10-26T09:10:00Z"/>
        </w:rPr>
        <w:t>Funding of the Standards Setting Organization</w:t>
      </w:r>
    </w:p>
    <w:p>
      <w:pPr>
        <w:pStyle w:val="Normal"/>
        <w:spacing w:before="0" w:after="100"/>
        <w:rPr/>
      </w:pPr>
      <w:r>
        <w:rPr/>
        <w:t>Funding should be fair and allocated to all users of the grid.  The funding mechanism itself should neither influence the decisions of the standards setting organization and its board nor drive the composition of committees or the outcome of votes.</w:t>
      </w:r>
      <w:ins w:id="19" w:author="cyeung" w:date="2001-10-26T09:11:00Z">
        <w:r>
          <w:rPr/>
          <w:t xml:space="preserve">  Federal legislation may be needed to allocate these costs and </w:t>
        </w:r>
      </w:ins>
      <w:ins w:id="20" w:author="cyeung" w:date="2001-10-26T09:22:00Z">
        <w:r>
          <w:rPr/>
          <w:t xml:space="preserve">the </w:t>
        </w:r>
      </w:ins>
      <w:ins w:id="21" w:author="cyeung" w:date="2001-10-26T09:11:00Z">
        <w:r>
          <w:rPr/>
          <w:t xml:space="preserve">SSO should </w:t>
        </w:r>
      </w:ins>
      <w:ins w:id="22" w:author="cyeung" w:date="2001-10-26T09:22:00Z">
        <w:r>
          <w:rPr/>
          <w:t xml:space="preserve">be ready to </w:t>
        </w:r>
      </w:ins>
      <w:ins w:id="23" w:author="cyeung" w:date="2001-10-26T09:11:00Z">
        <w:r>
          <w:rPr/>
          <w:t>support appropriate legislation to provide for a proper funding mechanism.</w:t>
        </w:r>
      </w:ins>
    </w:p>
    <w:p>
      <w:pPr>
        <w:pStyle w:val="Normal"/>
        <w:spacing w:before="0" w:after="100"/>
        <w:rPr/>
      </w:pPr>
      <w:r>
        <w:rPr/>
      </w:r>
    </w:p>
    <w:p>
      <w:pPr>
        <w:pStyle w:val="Heading1"/>
        <w:spacing w:before="0" w:after="100"/>
        <w:ind w:hanging="0" w:start="0"/>
        <w:rPr/>
      </w:pPr>
      <w:r>
        <w:rPr>
          <w:rPrChange w:id="0" w:author="Unknown" w:date="2001-10-25T14:48:00Z"/>
        </w:rPr>
        <w:t>Conclusion</w:t>
      </w:r>
    </w:p>
    <w:p>
      <w:pPr>
        <w:pStyle w:val="Normal"/>
        <w:spacing w:before="0" w:after="100"/>
        <w:rPr/>
      </w:pPr>
      <w:r>
        <w:rPr/>
        <w:t>These are some of the key requirements that must be addressed before Enron can support any standards setting organization.  Enron realizes that these are difficult issues and may not be resolved in a short time frame.  However, Enron believes that a SSO must move as quickly as possible to resolve these issues, as Regional Transmission Operators and the marketplace cannot wait for the right organization to be put in place.  We encourage NERC to continue working to develop strategies for addressing these needs.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2001-10-25T18:16:00Z</dcterms:created>
  <dc:creator>cyeung</dc:creator>
  <dc:description/>
  <dc:language>en-CA</dc:language>
  <cp:lastModifiedBy>cyeung</cp:lastModifiedBy>
  <cp:lastPrinted>2001-10-26T09:13:00Z</cp:lastPrinted>
  <dcterms:modified xsi:type="dcterms:W3CDTF">2001-10-26T11:52:00Z</dcterms:modified>
  <cp:revision>13</cp:revision>
  <dc:subject/>
  <dc:title>ENRON Support for an Electric Wholesale Standards Organization</dc:title>
</cp:coreProperties>
</file>