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jc w:val="center"/>
        <w:rPr>
          <w:sz w:val="28"/>
          <w:u w:val="none"/>
        </w:rPr>
      </w:pPr>
      <w:r>
        <w:rPr>
          <w:sz w:val="28"/>
          <w:u w:val="none"/>
        </w:rPr>
        <w:t>Enron Pipeline Safety Strategy</w:t>
      </w:r>
      <w:r>
        <mc:AlternateContent>
          <mc:Choice Requires="wps">
            <w:drawing>
              <wp:anchor behindDoc="0" distT="0" distB="0" distL="114935" distR="114935" simplePos="0" locked="0" layoutInCell="1" allowOverlap="1" relativeHeight="3">
                <wp:simplePos x="0" y="0"/>
                <wp:positionH relativeFrom="column">
                  <wp:posOffset>4658995</wp:posOffset>
                </wp:positionH>
                <wp:positionV relativeFrom="paragraph">
                  <wp:posOffset>-461645</wp:posOffset>
                </wp:positionV>
                <wp:extent cx="1471930" cy="557530"/>
                <wp:effectExtent l="0" t="0" r="0" b="0"/>
                <wp:wrapNone/>
                <wp:docPr id="1" name="Frame1"/>
                <a:graphic xmlns:a="http://schemas.openxmlformats.org/drawingml/2006/main">
                  <a:graphicData uri="http://schemas.microsoft.com/office/word/2010/wordprocessingShape">
                    <wps:wsp>
                      <wps:cNvSpPr txBox="1"/>
                      <wps:spPr>
                        <a:xfrm>
                          <a:off x="0" y="0"/>
                          <a:ext cx="1471930" cy="557530"/>
                        </a:xfrm>
                        <a:prstGeom prst="rect"/>
                        <a:solidFill>
                          <a:srgbClr val="FFFFFF"/>
                        </a:solidFill>
                        <a:ln w="9525">
                          <a:solidFill>
                            <a:srgbClr val="000000"/>
                          </a:solidFill>
                        </a:ln>
                      </wps:spPr>
                      <wps:txbx>
                        <w:txbxContent>
                          <w:p>
                            <w:pPr>
                              <w:pStyle w:val="Heading1"/>
                              <w:ind w:hanging="0" w:start="0"/>
                              <w:jc w:val="center"/>
                              <w:rPr/>
                            </w:pPr>
                            <w:r>
                              <w:rPr/>
                              <w:t>DRAFT</w:t>
                            </w:r>
                          </w:p>
                          <w:p>
                            <w:pPr>
                              <w:pStyle w:val="Normal"/>
                              <w:jc w:val="center"/>
                              <w:rPr>
                                <w:rFonts w:ascii="Arial" w:hAnsi="Arial" w:cs="Arial"/>
                                <w:b/>
                                <w:sz w:val="28"/>
                              </w:rPr>
                            </w:pPr>
                            <w:r>
                              <w:rPr>
                                <w:rFonts w:cs="Arial" w:ascii="Arial" w:hAnsi="Arial"/>
                                <w:b/>
                                <w:sz w:val="28"/>
                              </w:rPr>
                              <w:t>1/14/00</w:t>
                            </w:r>
                          </w:p>
                        </w:txbxContent>
                      </wps:txbx>
                      <wps:bodyPr anchor="t" lIns="91440" tIns="45720" rIns="91440" bIns="45720">
                        <a:noAutofit/>
                      </wps:bodyPr>
                    </wps:wsp>
                  </a:graphicData>
                </a:graphic>
              </wp:anchor>
            </w:drawing>
          </mc:Choice>
          <mc:Fallback>
            <w:pict>
              <v:rect fillcolor="#FFFFFF" strokecolor="#000000" strokeweight="0pt" style="position:absolute;rotation:-0;width:115.9pt;height:43.9pt;mso-wrap-distance-left:9.05pt;mso-wrap-distance-right:9.05pt;mso-wrap-distance-top:0pt;mso-wrap-distance-bottom:0pt;margin-top:-36.35pt;mso-position-vertical-relative:text;margin-left:366.85pt;mso-position-horizontal-relative:text">
                <v:textbox>
                  <w:txbxContent>
                    <w:p>
                      <w:pPr>
                        <w:pStyle w:val="Heading1"/>
                        <w:ind w:hanging="0" w:start="0"/>
                        <w:jc w:val="center"/>
                        <w:rPr/>
                      </w:pPr>
                      <w:r>
                        <w:rPr/>
                        <w:t>DRAFT</w:t>
                      </w:r>
                    </w:p>
                    <w:p>
                      <w:pPr>
                        <w:pStyle w:val="Normal"/>
                        <w:jc w:val="center"/>
                        <w:rPr>
                          <w:rFonts w:ascii="Arial" w:hAnsi="Arial" w:cs="Arial"/>
                          <w:b/>
                          <w:sz w:val="28"/>
                        </w:rPr>
                      </w:pPr>
                      <w:r>
                        <w:rPr>
                          <w:rFonts w:cs="Arial" w:ascii="Arial" w:hAnsi="Arial"/>
                          <w:b/>
                          <w:sz w:val="28"/>
                        </w:rPr>
                        <w:t>1/14/00</w:t>
                      </w:r>
                    </w:p>
                  </w:txbxContent>
                </v:textbox>
                <w10:wrap type="none"/>
              </v:rect>
            </w:pict>
          </mc:Fallback>
        </mc:AlternateContent>
      </w:r>
    </w:p>
    <w:p>
      <w:pPr>
        <w:pStyle w:val="Normal"/>
        <w:rPr>
          <w:sz w:val="28"/>
          <w:u w:val="none"/>
        </w:rPr>
      </w:pPr>
      <w:r>
        <w:rPr>
          <w:sz w:val="28"/>
          <w:u w:val="none"/>
        </w:rPr>
      </w:r>
    </w:p>
    <w:p>
      <w:pPr>
        <w:pStyle w:val="Normal"/>
        <w:rPr/>
      </w:pPr>
      <w:r>
        <w:rPr/>
        <w:t xml:space="preserve">1.  </w:t>
      </w:r>
      <w:r>
        <w:rPr>
          <w:u w:val="single"/>
        </w:rPr>
        <w:t>Pipeline Safety Reauthorization</w:t>
      </w:r>
    </w:p>
    <w:p>
      <w:pPr>
        <w:pStyle w:val="Normal"/>
        <w:rPr/>
      </w:pPr>
      <w:r>
        <w:rPr/>
      </w:r>
    </w:p>
    <w:p>
      <w:pPr>
        <w:pStyle w:val="Normal"/>
        <w:rPr>
          <w:i/>
          <w:i/>
        </w:rPr>
      </w:pPr>
      <w:r>
        <w:rPr>
          <w:i/>
        </w:rPr>
        <w:t>Background:</w:t>
      </w:r>
    </w:p>
    <w:p>
      <w:pPr>
        <w:pStyle w:val="Normal"/>
        <w:rPr>
          <w:i/>
          <w:i/>
        </w:rPr>
      </w:pPr>
      <w:r>
        <w:rPr>
          <w:i/>
        </w:rPr>
      </w:r>
    </w:p>
    <w:p>
      <w:pPr>
        <w:pStyle w:val="Normal"/>
        <w:numPr>
          <w:ilvl w:val="0"/>
          <w:numId w:val="3"/>
        </w:numPr>
        <w:rPr/>
      </w:pPr>
      <w:r>
        <w:rPr/>
        <w:t>Authorization for Office of Pipeline Safety (OPS) programs expires in the year 2000.</w:t>
      </w:r>
    </w:p>
    <w:p>
      <w:pPr>
        <w:pStyle w:val="Normal"/>
        <w:numPr>
          <w:ilvl w:val="0"/>
          <w:numId w:val="3"/>
        </w:numPr>
        <w:rPr/>
      </w:pPr>
      <w:r>
        <w:rPr/>
        <w:t>In May 1999, the House Commerce Committee (who shares jurisdiction with House Transportation) passed a simple, two year reauthorization bill, H.R. 1378.</w:t>
      </w:r>
    </w:p>
    <w:p>
      <w:pPr>
        <w:pStyle w:val="Normal"/>
        <w:numPr>
          <w:ilvl w:val="0"/>
          <w:numId w:val="3"/>
        </w:numPr>
        <w:rPr/>
      </w:pPr>
      <w:r>
        <w:rPr/>
        <w:t>In July 1999, a liquids pipeline accident in Bellingham, Washington triggered calls for greater regulation of all pipelines.</w:t>
      </w:r>
    </w:p>
    <w:p>
      <w:pPr>
        <w:pStyle w:val="Normal"/>
        <w:numPr>
          <w:ilvl w:val="0"/>
          <w:numId w:val="3"/>
        </w:numPr>
        <w:tabs>
          <w:tab w:val="left" w:pos="720" w:leader="none"/>
        </w:tabs>
        <w:ind w:hanging="360" w:start="720" w:end="0"/>
        <w:rPr/>
      </w:pPr>
      <w:r>
        <w:rPr/>
        <w:t xml:space="preserve">Senator Patty Murray (D-WA) introduced S. 2004, which expands State authority over interstate pipelines and requests large increases in OPS funding and pipeline user fees.  </w:t>
      </w:r>
    </w:p>
    <w:p>
      <w:pPr>
        <w:pStyle w:val="Normal"/>
        <w:numPr>
          <w:ilvl w:val="0"/>
          <w:numId w:val="3"/>
        </w:numPr>
        <w:tabs>
          <w:tab w:val="left" w:pos="720" w:leader="none"/>
        </w:tabs>
        <w:ind w:hanging="360" w:start="720" w:end="0"/>
        <w:rPr/>
      </w:pPr>
      <w:r>
        <w:rPr/>
        <w:t>Rep. Jack Metcalf (R-WA) introduced H.R. 3558, which is nearly identical to Senator Murray’s bill.  All members of the Washington congressional delegation are co-sponsors.</w:t>
      </w:r>
    </w:p>
    <w:p>
      <w:pPr>
        <w:pStyle w:val="Normal"/>
        <w:numPr>
          <w:ilvl w:val="0"/>
          <w:numId w:val="2"/>
        </w:numPr>
        <w:tabs>
          <w:tab w:val="left" w:pos="720" w:leader="none"/>
        </w:tabs>
        <w:ind w:hanging="360" w:start="720" w:end="0"/>
        <w:rPr/>
      </w:pPr>
      <w:r>
        <w:rPr/>
        <w:t>In April 2000, the Clinton Administration forwarded to Congress its draft legislation, which authorizes a $47 million in OPS funding in FY2001 (a $10 million increase from 2000), adds requirements for testing and inspection in high-consequence areas, public “right-to-know” provisions, and measures giving States an enhanced role in interstate pipeline safety.  As a courtesy, the legislation was introduced as H.R. 4206.</w:t>
      </w:r>
    </w:p>
    <w:p>
      <w:pPr>
        <w:pStyle w:val="Normal"/>
        <w:numPr>
          <w:ilvl w:val="0"/>
          <w:numId w:val="2"/>
        </w:numPr>
        <w:tabs>
          <w:tab w:val="clear" w:pos="720"/>
          <w:tab w:val="left" w:pos="420" w:leader="none"/>
        </w:tabs>
        <w:ind w:hanging="360" w:start="420" w:end="0"/>
        <w:rPr/>
      </w:pPr>
      <w:r>
        <w:rPr/>
        <w:t>In April 2000, Senate Commerce Committee Chairman John McCain (R-AZ) introduced S. 2438, reauthorization legislation that is more limited in scope than other proposed reforms.  McCain hopes to move legislation through Committee and to the full Senate by June 2000.</w:t>
      </w:r>
    </w:p>
    <w:p>
      <w:pPr>
        <w:pStyle w:val="Normal"/>
        <w:numPr>
          <w:ilvl w:val="0"/>
          <w:numId w:val="2"/>
        </w:numPr>
        <w:tabs>
          <w:tab w:val="clear" w:pos="720"/>
          <w:tab w:val="left" w:pos="420" w:leader="none"/>
        </w:tabs>
        <w:ind w:hanging="360" w:start="420" w:end="0"/>
        <w:rPr/>
      </w:pPr>
      <w:r>
        <w:rPr/>
        <w:t>The House Transportation &amp; Infrastructure Committee and Senate Commerce Committee will consider reauthorization legislation in May/June 2000.</w:t>
      </w:r>
    </w:p>
    <w:p>
      <w:pPr>
        <w:pStyle w:val="Normal"/>
        <w:ind w:start="60" w:end="0"/>
        <w:rPr/>
      </w:pPr>
      <w:r>
        <w:rPr/>
      </w:r>
    </w:p>
    <w:p>
      <w:pPr>
        <w:pStyle w:val="Normal"/>
        <w:rPr>
          <w:i/>
          <w:i/>
        </w:rPr>
      </w:pPr>
      <w:r>
        <w:rPr>
          <w:i/>
        </w:rPr>
        <w:t>Position:</w:t>
      </w:r>
    </w:p>
    <w:p>
      <w:pPr>
        <w:pStyle w:val="Normal"/>
        <w:rPr>
          <w:i/>
          <w:i/>
        </w:rPr>
      </w:pPr>
      <w:r>
        <w:rPr>
          <w:i/>
        </w:rPr>
      </w:r>
    </w:p>
    <w:p>
      <w:pPr>
        <w:pStyle w:val="Normal"/>
        <w:numPr>
          <w:ilvl w:val="0"/>
          <w:numId w:val="8"/>
        </w:numPr>
        <w:rPr/>
      </w:pPr>
      <w:r>
        <w:rPr/>
        <w:t>Enron would prefer a “clean” reauthorization bill which simply extends current OPS programs and funding levels.  However, we realize this may not be possible given a political climate in which all reauthorization bills will attempt to address calls for increased safety.</w:t>
      </w:r>
    </w:p>
    <w:p>
      <w:pPr>
        <w:pStyle w:val="Normal"/>
        <w:numPr>
          <w:ilvl w:val="0"/>
          <w:numId w:val="8"/>
        </w:numPr>
        <w:rPr/>
      </w:pPr>
      <w:r>
        <w:rPr/>
        <w:t xml:space="preserve">Reauthorization legislation should </w:t>
      </w:r>
      <w:r>
        <w:rPr>
          <w:u w:val="single"/>
        </w:rPr>
        <w:t>not:</w:t>
      </w:r>
    </w:p>
    <w:p>
      <w:pPr>
        <w:pStyle w:val="Normal"/>
        <w:numPr>
          <w:ilvl w:val="0"/>
          <w:numId w:val="8"/>
        </w:numPr>
        <w:tabs>
          <w:tab w:val="left" w:pos="720" w:leader="none"/>
        </w:tabs>
        <w:ind w:hanging="360" w:start="720" w:end="0"/>
        <w:rPr/>
      </w:pPr>
      <w:r>
        <w:rPr/>
        <w:t>provide States with the ability to exercise jurisdiction or their own regulations over interstate pipelines.</w:t>
      </w:r>
    </w:p>
    <w:p>
      <w:pPr>
        <w:pStyle w:val="Normal"/>
        <w:numPr>
          <w:ilvl w:val="0"/>
          <w:numId w:val="8"/>
        </w:numPr>
        <w:tabs>
          <w:tab w:val="left" w:pos="720" w:leader="none"/>
        </w:tabs>
        <w:ind w:hanging="360" w:start="720" w:end="0"/>
        <w:rPr/>
      </w:pPr>
      <w:r>
        <w:rPr/>
        <w:t>contain prescriptive language targeted at “direct measures of pipeline integrity” or operator qualification.  Enron and industry are working closely with OPS on regulatory measures that will be effective in addressing pipeline integrity in high-consequence areas and operator training and qualification – these efforts would be compromised be overlapping statutory mandates.</w:t>
      </w:r>
    </w:p>
    <w:p>
      <w:pPr>
        <w:pStyle w:val="Normal"/>
        <w:numPr>
          <w:ilvl w:val="0"/>
          <w:numId w:val="8"/>
        </w:numPr>
        <w:rPr/>
      </w:pPr>
      <w:r>
        <w:rPr/>
        <w:t>Reauthorization legislation should:</w:t>
      </w:r>
    </w:p>
    <w:p>
      <w:pPr>
        <w:pStyle w:val="Normal"/>
        <w:numPr>
          <w:ilvl w:val="0"/>
          <w:numId w:val="8"/>
        </w:numPr>
        <w:tabs>
          <w:tab w:val="left" w:pos="720" w:leader="none"/>
        </w:tabs>
        <w:ind w:hanging="360" w:start="720" w:end="0"/>
        <w:rPr/>
      </w:pPr>
      <w:r>
        <w:rPr/>
        <w:t>Target reforms toward damage prevention, such as uniform one-call standards and response/remediation requirements.</w:t>
      </w:r>
    </w:p>
    <w:p>
      <w:pPr>
        <w:pStyle w:val="Normal"/>
        <w:numPr>
          <w:ilvl w:val="0"/>
          <w:numId w:val="8"/>
        </w:numPr>
        <w:tabs>
          <w:tab w:val="left" w:pos="720" w:leader="none"/>
        </w:tabs>
        <w:ind w:hanging="360" w:start="720" w:end="0"/>
        <w:rPr/>
      </w:pPr>
      <w:r>
        <w:rPr/>
        <w:t>Appropriately recognize the difference between natural gas and liquids.</w:t>
      </w:r>
    </w:p>
    <w:p>
      <w:pPr>
        <w:pStyle w:val="Normal"/>
        <w:rPr/>
      </w:pPr>
      <w:r>
        <w:rPr/>
      </w:r>
    </w:p>
    <w:p>
      <w:pPr>
        <w:pStyle w:val="Normal"/>
        <w:rPr/>
      </w:pPr>
      <w:r>
        <w:rPr/>
      </w:r>
    </w:p>
    <w:p>
      <w:pPr>
        <w:pStyle w:val="Normal"/>
        <w:numPr>
          <w:ilvl w:val="0"/>
          <w:numId w:val="4"/>
        </w:numPr>
        <w:rPr>
          <w:u w:val="single"/>
        </w:rPr>
      </w:pPr>
      <w:r>
        <w:rPr>
          <w:u w:val="single"/>
        </w:rPr>
        <w:t>Transportation Appropriations (RSPA/OPS)</w:t>
      </w:r>
      <w:r>
        <mc:AlternateContent>
          <mc:Choice Requires="wps">
            <w:drawing>
              <wp:anchor behindDoc="0" distT="0" distB="0" distL="114935" distR="114935" simplePos="0" locked="0" layoutInCell="1" allowOverlap="1" relativeHeight="4">
                <wp:simplePos x="0" y="0"/>
                <wp:positionH relativeFrom="column">
                  <wp:posOffset>4811395</wp:posOffset>
                </wp:positionH>
                <wp:positionV relativeFrom="paragraph">
                  <wp:posOffset>-309245</wp:posOffset>
                </wp:positionV>
                <wp:extent cx="1471930" cy="557530"/>
                <wp:effectExtent l="0" t="0" r="0" b="0"/>
                <wp:wrapNone/>
                <wp:docPr id="2" name="Frame2"/>
                <a:graphic xmlns:a="http://schemas.openxmlformats.org/drawingml/2006/main">
                  <a:graphicData uri="http://schemas.microsoft.com/office/word/2010/wordprocessingShape">
                    <wps:wsp>
                      <wps:cNvSpPr txBox="1"/>
                      <wps:spPr>
                        <a:xfrm>
                          <a:off x="0" y="0"/>
                          <a:ext cx="1471930" cy="557530"/>
                        </a:xfrm>
                        <a:prstGeom prst="rect"/>
                        <a:solidFill>
                          <a:srgbClr val="FFFFFF"/>
                        </a:solidFill>
                        <a:ln w="9525">
                          <a:solidFill>
                            <a:srgbClr val="000000"/>
                          </a:solidFill>
                        </a:ln>
                      </wps:spPr>
                      <wps:txbx>
                        <w:txbxContent>
                          <w:p>
                            <w:pPr>
                              <w:pStyle w:val="Heading1"/>
                              <w:ind w:hanging="0" w:start="0"/>
                              <w:jc w:val="center"/>
                              <w:rPr/>
                            </w:pPr>
                            <w:r>
                              <w:rPr/>
                              <w:t>DRAFT</w:t>
                            </w:r>
                          </w:p>
                          <w:p>
                            <w:pPr>
                              <w:pStyle w:val="Normal"/>
                              <w:jc w:val="center"/>
                              <w:rPr>
                                <w:rFonts w:ascii="Arial" w:hAnsi="Arial" w:cs="Arial"/>
                                <w:b/>
                                <w:sz w:val="28"/>
                              </w:rPr>
                            </w:pPr>
                            <w:r>
                              <w:rPr>
                                <w:rFonts w:cs="Arial" w:ascii="Arial" w:hAnsi="Arial"/>
                                <w:b/>
                                <w:sz w:val="28"/>
                              </w:rPr>
                              <w:t>1/14/00</w:t>
                            </w:r>
                          </w:p>
                        </w:txbxContent>
                      </wps:txbx>
                      <wps:bodyPr anchor="t" lIns="91440" tIns="45720" rIns="91440" bIns="45720">
                        <a:noAutofit/>
                      </wps:bodyPr>
                    </wps:wsp>
                  </a:graphicData>
                </a:graphic>
              </wp:anchor>
            </w:drawing>
          </mc:Choice>
          <mc:Fallback>
            <w:pict>
              <v:rect fillcolor="#FFFFFF" strokecolor="#000000" strokeweight="0pt" style="position:absolute;rotation:-0;width:115.9pt;height:43.9pt;mso-wrap-distance-left:9.05pt;mso-wrap-distance-right:9.05pt;mso-wrap-distance-top:0pt;mso-wrap-distance-bottom:0pt;margin-top:-24.35pt;mso-position-vertical-relative:text;margin-left:378.85pt;mso-position-horizontal-relative:text">
                <v:textbox>
                  <w:txbxContent>
                    <w:p>
                      <w:pPr>
                        <w:pStyle w:val="Heading1"/>
                        <w:ind w:hanging="0" w:start="0"/>
                        <w:jc w:val="center"/>
                        <w:rPr/>
                      </w:pPr>
                      <w:r>
                        <w:rPr/>
                        <w:t>DRAFT</w:t>
                      </w:r>
                    </w:p>
                    <w:p>
                      <w:pPr>
                        <w:pStyle w:val="Normal"/>
                        <w:jc w:val="center"/>
                        <w:rPr>
                          <w:rFonts w:ascii="Arial" w:hAnsi="Arial" w:cs="Arial"/>
                          <w:b/>
                          <w:sz w:val="28"/>
                        </w:rPr>
                      </w:pPr>
                      <w:r>
                        <w:rPr>
                          <w:rFonts w:cs="Arial" w:ascii="Arial" w:hAnsi="Arial"/>
                          <w:b/>
                          <w:sz w:val="28"/>
                        </w:rPr>
                        <w:t>1/14/00</w:t>
                      </w:r>
                    </w:p>
                  </w:txbxContent>
                </v:textbox>
                <w10:wrap type="none"/>
              </v:rect>
            </w:pict>
          </mc:Fallback>
        </mc:AlternateContent>
      </w:r>
    </w:p>
    <w:p>
      <w:pPr>
        <w:pStyle w:val="Normal"/>
        <w:rPr>
          <w:u w:val="single"/>
        </w:rPr>
      </w:pPr>
      <w:r>
        <w:rPr>
          <w:u w:val="single"/>
        </w:rPr>
      </w:r>
    </w:p>
    <w:p>
      <w:pPr>
        <w:pStyle w:val="Normal"/>
        <w:rPr>
          <w:i/>
          <w:i/>
        </w:rPr>
      </w:pPr>
      <w:r>
        <w:rPr>
          <w:i/>
        </w:rPr>
        <w:t xml:space="preserve">Background:   </w:t>
      </w:r>
    </w:p>
    <w:p>
      <w:pPr>
        <w:pStyle w:val="Normal"/>
        <w:rPr>
          <w:i/>
          <w:i/>
        </w:rPr>
      </w:pPr>
      <w:r>
        <w:rPr>
          <w:i/>
        </w:rPr>
      </w:r>
    </w:p>
    <w:p>
      <w:pPr>
        <w:pStyle w:val="Normal"/>
        <w:numPr>
          <w:ilvl w:val="0"/>
          <w:numId w:val="5"/>
        </w:numPr>
        <w:rPr/>
      </w:pPr>
      <w:r>
        <w:rPr/>
        <w:t>The FY2000 budget for RSPA/OPS was $36,681,000</w:t>
      </w:r>
    </w:p>
    <w:p>
      <w:pPr>
        <w:pStyle w:val="Normal"/>
        <w:numPr>
          <w:ilvl w:val="0"/>
          <w:numId w:val="5"/>
        </w:numPr>
        <w:rPr/>
      </w:pPr>
      <w:r>
        <w:rPr/>
        <w:t>The Clinton Administration is requesting $47,137,000 in FY2001, a more than $10 million increase.   OPS requested increases include:</w:t>
      </w:r>
    </w:p>
    <w:p>
      <w:pPr>
        <w:pStyle w:val="Normal"/>
        <w:numPr>
          <w:ilvl w:val="0"/>
          <w:numId w:val="5"/>
        </w:numPr>
        <w:tabs>
          <w:tab w:val="left" w:pos="720" w:leader="none"/>
        </w:tabs>
        <w:ind w:hanging="360" w:start="720" w:end="0"/>
        <w:rPr/>
      </w:pPr>
      <w:r>
        <w:rPr/>
        <w:t>$1million for additional personnel (inspectors).</w:t>
      </w:r>
    </w:p>
    <w:p>
      <w:pPr>
        <w:pStyle w:val="Normal"/>
        <w:numPr>
          <w:ilvl w:val="0"/>
          <w:numId w:val="5"/>
        </w:numPr>
        <w:tabs>
          <w:tab w:val="left" w:pos="720" w:leader="none"/>
        </w:tabs>
        <w:ind w:hanging="360" w:start="720" w:end="0"/>
        <w:rPr/>
      </w:pPr>
      <w:r>
        <w:rPr/>
        <w:t xml:space="preserve">$7 million in safety &amp; damage prevention grants to States, funded through increased pipeline user fees. </w:t>
      </w:r>
    </w:p>
    <w:p>
      <w:pPr>
        <w:pStyle w:val="Normal"/>
        <w:numPr>
          <w:ilvl w:val="0"/>
          <w:numId w:val="6"/>
        </w:numPr>
        <w:tabs>
          <w:tab w:val="left" w:pos="720" w:leader="none"/>
        </w:tabs>
        <w:ind w:hanging="360" w:start="720" w:end="0"/>
        <w:rPr/>
      </w:pPr>
      <w:r>
        <w:rPr/>
        <w:t>$2 million in R&amp;D</w:t>
      </w:r>
    </w:p>
    <w:p>
      <w:pPr>
        <w:pStyle w:val="Normal"/>
        <w:numPr>
          <w:ilvl w:val="0"/>
          <w:numId w:val="6"/>
        </w:numPr>
        <w:rPr/>
      </w:pPr>
      <w:r>
        <w:rPr/>
        <w:t xml:space="preserve">The Clinton proposal will likely be backed by those advocating reform in the wake of the Bellingham, WA incident -- Senator Slade Gorton (R-WA), a powerful member of the Appropriations Committee who can sway Republican votes, and Patty Murray (D-WA), who will work to secure full Democratic support for the increases.   </w:t>
      </w:r>
    </w:p>
    <w:p>
      <w:pPr>
        <w:pStyle w:val="Normal"/>
        <w:numPr>
          <w:ilvl w:val="0"/>
          <w:numId w:val="6"/>
        </w:numPr>
        <w:rPr/>
      </w:pPr>
      <w:r>
        <w:rPr/>
        <w:t>INGAA is advocating a position that the large increases requested by OPS in the areas of State grants and new inspectors are unnecessary based on the safety record of natural gas transmission, and should not be funded through increases in user fees.  INGAA believes that user fees should only increase with cost of living ($1 million).</w:t>
      </w:r>
    </w:p>
    <w:p>
      <w:pPr>
        <w:pStyle w:val="Normal"/>
        <w:numPr>
          <w:ilvl w:val="0"/>
          <w:numId w:val="6"/>
        </w:numPr>
        <w:tabs>
          <w:tab w:val="left" w:pos="720" w:leader="none"/>
        </w:tabs>
        <w:ind w:hanging="360" w:start="720" w:end="0"/>
        <w:rPr/>
      </w:pPr>
      <w:r>
        <w:rPr/>
        <w:t>$5 million requested by OPS for state damage prevention grants should come from general Treasury revenues, not user fees.  (this was specified in the TEA 21 transportation bill, which authorized such grants)</w:t>
      </w:r>
    </w:p>
    <w:p>
      <w:pPr>
        <w:pStyle w:val="Normal"/>
        <w:numPr>
          <w:ilvl w:val="0"/>
          <w:numId w:val="6"/>
        </w:numPr>
        <w:tabs>
          <w:tab w:val="left" w:pos="720" w:leader="none"/>
        </w:tabs>
        <w:ind w:hanging="360" w:start="720" w:end="0"/>
        <w:rPr/>
      </w:pPr>
      <w:r>
        <w:rPr/>
        <w:t>Any other increases in state grants or personnel should come either from the unexpended user fee reserve accounts, or from the Oil Spill Liability Trust Fund.</w:t>
      </w:r>
    </w:p>
    <w:p>
      <w:pPr>
        <w:pStyle w:val="Normal"/>
        <w:rPr/>
      </w:pPr>
      <w:r>
        <w:rPr/>
      </w:r>
    </w:p>
    <w:p>
      <w:pPr>
        <w:pStyle w:val="Normal"/>
        <w:rPr>
          <w:i/>
          <w:i/>
        </w:rPr>
      </w:pPr>
      <w:r>
        <w:rPr>
          <w:i/>
        </w:rPr>
        <w:t>Position:</w:t>
      </w:r>
    </w:p>
    <w:p>
      <w:pPr>
        <w:pStyle w:val="Normal"/>
        <w:rPr>
          <w:i/>
          <w:i/>
        </w:rPr>
      </w:pPr>
      <w:r>
        <w:rPr>
          <w:i/>
        </w:rPr>
      </w:r>
    </w:p>
    <w:p>
      <w:pPr>
        <w:pStyle w:val="Normal"/>
        <w:numPr>
          <w:ilvl w:val="0"/>
          <w:numId w:val="7"/>
        </w:numPr>
        <w:rPr/>
      </w:pPr>
      <w:r>
        <w:rPr/>
        <w:t>From a negotiating standpoint, INGAA’s position of minimizing user fee increases is a good initial position.   This is an unrealistic outcome, however, given the post-Bellingham political climate.</w:t>
      </w:r>
    </w:p>
    <w:p>
      <w:pPr>
        <w:pStyle w:val="Normal"/>
        <w:numPr>
          <w:ilvl w:val="0"/>
          <w:numId w:val="7"/>
        </w:numPr>
        <w:rPr/>
      </w:pPr>
      <w:r>
        <w:rPr/>
        <w:t xml:space="preserve">Industry should work with the Appropriations Committees to minimize pipeline user fees, but should also be willing to support reasonable increases in areas where additional funding can provide </w:t>
      </w:r>
      <w:r>
        <w:rPr>
          <w:u w:val="single"/>
        </w:rPr>
        <w:t>real</w:t>
      </w:r>
      <w:r>
        <w:rPr/>
        <w:t xml:space="preserve"> benefits, such as:</w:t>
      </w:r>
    </w:p>
    <w:p>
      <w:pPr>
        <w:pStyle w:val="Normal"/>
        <w:numPr>
          <w:ilvl w:val="0"/>
          <w:numId w:val="7"/>
        </w:numPr>
        <w:tabs>
          <w:tab w:val="left" w:pos="720" w:leader="none"/>
        </w:tabs>
        <w:ind w:hanging="360" w:start="720" w:end="0"/>
        <w:rPr/>
      </w:pPr>
      <w:r>
        <w:rPr/>
        <w:t>damage prevention/one call</w:t>
      </w:r>
    </w:p>
    <w:p>
      <w:pPr>
        <w:pStyle w:val="Normal"/>
        <w:numPr>
          <w:ilvl w:val="0"/>
          <w:numId w:val="7"/>
        </w:numPr>
        <w:tabs>
          <w:tab w:val="left" w:pos="720" w:leader="none"/>
        </w:tabs>
        <w:ind w:hanging="360" w:start="720" w:end="0"/>
        <w:rPr/>
      </w:pPr>
      <w:r>
        <w:rPr/>
        <w:t>public education</w:t>
      </w:r>
    </w:p>
    <w:p>
      <w:pPr>
        <w:pStyle w:val="Normal"/>
        <w:numPr>
          <w:ilvl w:val="0"/>
          <w:numId w:val="7"/>
        </w:numPr>
        <w:tabs>
          <w:tab w:val="left" w:pos="720" w:leader="none"/>
        </w:tabs>
        <w:ind w:hanging="360" w:start="720" w:end="0"/>
        <w:rPr/>
      </w:pPr>
      <w:r>
        <w:rPr/>
        <w:t>reasonable R&amp;D</w:t>
      </w:r>
    </w:p>
    <w:p>
      <w:pPr>
        <w:pStyle w:val="Normal"/>
        <w:numPr>
          <w:ilvl w:val="0"/>
          <w:numId w:val="7"/>
        </w:numPr>
        <w:rPr/>
      </w:pPr>
      <w:r>
        <w:rPr/>
        <w:t>Short term strategy:  Industry should work to find a “win-win” that satisfies Bellingham advocates and increases funding in an area that natural gas pipelines can support.</w:t>
      </w:r>
    </w:p>
    <w:p>
      <w:pPr>
        <w:pStyle w:val="Normal"/>
        <w:numPr>
          <w:ilvl w:val="0"/>
          <w:numId w:val="7"/>
        </w:numPr>
        <w:tabs>
          <w:tab w:val="left" w:pos="720" w:leader="none"/>
        </w:tabs>
        <w:ind w:hanging="360" w:start="720" w:end="0"/>
        <w:rPr/>
      </w:pPr>
      <w:r>
        <w:rPr/>
        <w:t>Example:  working with Washington members of Congress to find funding ($1 million) for a one-time grant to Washington state for activities related to the Bellingham incident.  Derive funding from the OPS reserve account or general revenues if possible, or “earmark” State grant funds paid from pipeline user fees.</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2"/>
      <w:numFmt w:val="decimal"/>
      <w:lvlText w:val="%1."/>
      <w:lvlJc w:val="start"/>
      <w:pPr>
        <w:tabs>
          <w:tab w:val="num" w:pos="360"/>
        </w:tabs>
        <w:ind w:start="360" w:hanging="360"/>
      </w:pPr>
      <w:rPr>
        <w:u w:val="none"/>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40"/>
    </w:rPr>
  </w:style>
  <w:style w:type="paragraph" w:styleId="Heading2">
    <w:name w:val="heading 2"/>
    <w:basedOn w:val="Normal"/>
    <w:next w:val="Normal"/>
    <w:qFormat/>
    <w:pPr>
      <w:keepNext w:val="true"/>
      <w:numPr>
        <w:ilvl w:val="1"/>
        <w:numId w:val="1"/>
      </w:numPr>
      <w:outlineLvl w:val="1"/>
    </w:pPr>
    <w:rPr>
      <w:b/>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u w:val="none"/>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Return">
    <w:name w:val="envelope return"/>
    <w:basedOn w:val="Normal"/>
    <w:pPr/>
    <w:rPr>
      <w:sz w:val="20"/>
    </w:rPr>
  </w:style>
  <w:style w:type="paragraph" w:styleId="EnvelopeAddress">
    <w:name w:val="envelope address"/>
    <w:basedOn w:val="Normal"/>
    <w:pPr>
      <w:ind w:hanging="0" w:start="28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2000-04-12T13:45:00Z</dcterms:created>
  <dc:creator>Jeffrey Keeler</dc:creator>
  <dc:description/>
  <dc:language>en-CA</dc:language>
  <cp:lastModifiedBy>Jeffrey Keeler</cp:lastModifiedBy>
  <dcterms:modified xsi:type="dcterms:W3CDTF">2000-04-17T08:44:00Z</dcterms:modified>
  <cp:revision>5</cp:revision>
  <dc:subject/>
  <dc:title>Enron Pipeline Safety Strategy </dc:title>
</cp:coreProperties>
</file>