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end"/>
        <w:rPr>
          <w:b/>
          <w:spacing w:val="-3"/>
          <w:sz w:val="24"/>
        </w:rPr>
      </w:pPr>
      <w:r>
        <w:rPr>
          <w:b/>
          <w:spacing w:val="-3"/>
          <w:sz w:val="24"/>
        </w:rPr>
        <w:t>5/24/01</w:t>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t>[FORM OF OPINION OF IN-HOUSE COUNSEL FOR ENRON PARTIES</w:t>
      </w:r>
    </w:p>
    <w:p>
      <w:pPr>
        <w:pStyle w:val="Normal"/>
        <w:tabs>
          <w:tab w:val="clear" w:pos="720"/>
          <w:tab w:val="center" w:pos="4680" w:leader="none"/>
        </w:tabs>
        <w:suppressAutoHyphens w:val="true"/>
        <w:jc w:val="center"/>
        <w:rPr>
          <w:b/>
          <w:spacing w:val="-3"/>
          <w:sz w:val="24"/>
        </w:rPr>
      </w:pPr>
      <w:r>
        <w:rPr>
          <w:b/>
          <w:spacing w:val="-3"/>
          <w:sz w:val="24"/>
        </w:rPr>
        <w:t>OTHER THAN ENRON CORP]</w:t>
      </w:r>
    </w:p>
    <w:p>
      <w:pPr>
        <w:pStyle w:val="r"/>
        <w:tabs>
          <w:tab w:val="left" w:pos="-720" w:leader="none"/>
          <w:tab w:val="center" w:pos="4680" w:leader="none"/>
        </w:tabs>
        <w:rPr>
          <w:rFonts w:ascii="Times New Roman" w:hAnsi="Times New Roman" w:cs="Times New Roman"/>
          <w:b/>
          <w:spacing w:val="-3"/>
          <w:sz w:val="24"/>
        </w:rPr>
      </w:pPr>
      <w:r>
        <w:rPr>
          <w:rFonts w:cs="Times New Roman" w:ascii="Times New Roman" w:hAnsi="Times New Roman"/>
          <w:b/>
          <w:spacing w:val="-3"/>
          <w:sz w:val="24"/>
        </w:rPr>
      </w:r>
    </w:p>
    <w:p>
      <w:pPr>
        <w:pStyle w:val="r"/>
        <w:tabs>
          <w:tab w:val="left" w:pos="-720" w:leader="none"/>
          <w:tab w:val="center" w:pos="4680" w:leader="none"/>
        </w:tabs>
        <w:rPr>
          <w:rFonts w:ascii="Times New Roman" w:hAnsi="Times New Roman" w:cs="Times New Roman"/>
          <w:spacing w:val="-3"/>
        </w:rPr>
      </w:pPr>
      <w:r>
        <w:rPr>
          <w:rFonts w:cs="Times New Roman" w:ascii="Times New Roman" w:hAnsi="Times New Roman"/>
          <w:spacing w:val="-3"/>
        </w:rPr>
      </w:r>
    </w:p>
    <w:p>
      <w:pPr>
        <w:pStyle w:val="r"/>
        <w:tabs>
          <w:tab w:val="left" w:pos="-720" w:leader="none"/>
          <w:tab w:val="center" w:pos="468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t>June 1, 2001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spacing w:val="-3"/>
          <w:sz w:val="24"/>
        </w:rPr>
      </w:pPr>
      <w:r>
        <w:rPr>
          <w:rFonts w:cs="Times New Roman"/>
          <w:spacing w:val="-3"/>
          <w:sz w:val="24"/>
        </w:rPr>
      </w:r>
    </w:p>
    <w:p>
      <w:pPr>
        <w:pStyle w:val="VEAlignedText"/>
        <w:rPr/>
      </w:pPr>
      <w:r>
        <w:rPr/>
        <w:t>AEP Energy Services Gas Holding Company</w:t>
      </w:r>
    </w:p>
    <w:p>
      <w:pPr>
        <w:pStyle w:val="VEAlignedText"/>
        <w:rPr/>
      </w:pPr>
      <w:r>
        <w:rPr/>
        <w:t>1 Riverside Plaza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t>Columbus, Ohio  43215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Re:</w:t>
        <w:tab/>
        <w:t>Houston Pipe Line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Ladies and Gentlemen: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723" w:leader="none"/>
        </w:tabs>
        <w:ind w:firstLine="723" w:end="0"/>
        <w:jc w:val="both"/>
        <w:rPr/>
      </w:pPr>
      <w:r>
        <w:rPr>
          <w:spacing w:val="-3"/>
          <w:sz w:val="24"/>
        </w:rPr>
        <w:tab/>
      </w:r>
      <w:r>
        <w:rPr>
          <w:sz w:val="24"/>
        </w:rPr>
        <w:t>As ______________ of ______________ a ________ corporation (“</w:t>
      </w:r>
      <w:r>
        <w:rPr>
          <w:sz w:val="24"/>
          <w:u w:val="single"/>
        </w:rPr>
        <w:t>______</w:t>
      </w:r>
      <w:r>
        <w:rPr>
          <w:sz w:val="24"/>
        </w:rPr>
        <w:t>”), I am familiar with the following documents (collectively, the “Subject Documents”):</w:t>
      </w:r>
    </w:p>
    <w:p>
      <w:pPr>
        <w:pStyle w:val="Normal"/>
        <w:tabs>
          <w:tab w:val="clear" w:pos="720"/>
          <w:tab w:val="left" w:pos="0" w:leader="none"/>
          <w:tab w:val="left" w:pos="723" w:leader="none"/>
        </w:tabs>
        <w:ind w:firstLine="723" w:end="0"/>
        <w:jc w:val="both"/>
        <w:rPr>
          <w:sz w:val="24"/>
        </w:rPr>
      </w:pPr>
      <w:r>
        <w:rPr>
          <w:sz w:val="24"/>
        </w:rPr>
      </w:r>
    </w:p>
    <w:p>
      <w:pPr>
        <w:pStyle w:val="VEBodyTextFLI"/>
        <w:ind w:start="720" w:end="0"/>
        <w:rPr/>
      </w:pPr>
      <w:r>
        <w:rPr/>
        <w:t>1)</w:t>
        <w:tab/>
        <w:t>IT Services Agreement by and among AEP Energy Services, Inc., Houston Pipe Line Company (“HPL”) and Enron North America Corp. (“ENA”) dated effective as of December 27, 2000;</w:t>
      </w:r>
    </w:p>
    <w:p>
      <w:pPr>
        <w:pStyle w:val="VEBodyTextFLI"/>
        <w:ind w:start="720" w:end="0"/>
        <w:rPr/>
      </w:pPr>
      <w:r>
        <w:rPr/>
        <w:t>2)</w:t>
        <w:tab/>
        <w:t>Sublease Agreement between BAM Lease Company (“LeaseCo”), as Sublessor, and HPL, as Sublessee, dated effective as of June 1, 2001;</w:t>
      </w:r>
    </w:p>
    <w:p>
      <w:pPr>
        <w:pStyle w:val="VEBodyTextFLI"/>
        <w:ind w:start="720" w:end="0"/>
        <w:rPr/>
      </w:pPr>
      <w:r>
        <w:rPr/>
        <w:t>3)</w:t>
        <w:tab/>
        <w:t>Right to Use Agreement by and between LeaseCo and HPL dated effective as of June 1, 2001;</w:t>
      </w:r>
    </w:p>
    <w:p>
      <w:pPr>
        <w:pStyle w:val="VEBodyTextFLI"/>
        <w:ind w:start="720" w:end="0"/>
        <w:rPr/>
      </w:pPr>
      <w:r>
        <w:rPr/>
        <w:t>4)</w:t>
        <w:tab/>
        <w:t>Consent and Acknowledgment (Cushion Gas) by and among The Bank of New York, as Trustee of the Bammel Gas Trust, LeaseCo, HPL Asset Holdings LP, Houston Pipe Line Company, Enron Corp., ENA, HPL Resources Company (“HPLR”) and Bank of America, NA dated effective as of June 1, 2001</w:t>
      </w:r>
      <w:r>
        <w:rPr>
          <w:spacing w:val="-3"/>
          <w:kern w:val="2"/>
        </w:rPr>
        <w:t>;</w:t>
      </w:r>
    </w:p>
    <w:p>
      <w:pPr>
        <w:pStyle w:val="VEBodyTextFLI"/>
        <w:ind w:start="720" w:end="0"/>
        <w:rPr/>
      </w:pPr>
      <w:r>
        <w:rPr/>
        <w:t>5)</w:t>
        <w:tab/>
        <w:t>Consent and Acknowledgment (Leased Facilities) by and among HPL Asset Holdings LP, LeaseCo and HPL dated effective as of June 1, 2001;</w:t>
      </w:r>
    </w:p>
    <w:p>
      <w:pPr>
        <w:pStyle w:val="VEBodyTextFLI"/>
        <w:ind w:start="720" w:end="0"/>
        <w:rPr/>
      </w:pPr>
      <w:r>
        <w:rPr/>
        <w:t>6)</w:t>
        <w:tab/>
        <w:t>Purchase Option Agreement between LeaseCo, HPL and HPL Asset Holdings LP dated effective as of June 1, 2001; and</w:t>
      </w:r>
    </w:p>
    <w:p>
      <w:pPr>
        <w:pStyle w:val="VEBodyTextFLI"/>
        <w:ind w:start="720" w:end="0"/>
        <w:rPr/>
      </w:pPr>
      <w:r>
        <w:rPr/>
        <w:t>7)</w:t>
        <w:tab/>
        <w:t xml:space="preserve">Noncompetition Agreement between ENA and AEP Energy Services Gas Holding Company dated effective as of June 1, 2001; </w:t>
      </w:r>
    </w:p>
    <w:p>
      <w:pPr>
        <w:pStyle w:val="VEBodyTextFLI"/>
        <w:jc w:val="start"/>
        <w:rPr/>
      </w:pPr>
      <w:r>
        <w:rPr/>
        <w:t>For purposes of this opinion, the term “Enron Parties” or ”Enron Party” shall mean “Enron North America Corp., a Delaware corporation; BAM Lease Company, a Delaware corporation; [HPL Asset Holdings LP, a Delaware limited partnership and HPL Resources Company, a Delaware corporation.”]</w:t>
      </w:r>
    </w:p>
    <w:p>
      <w:pPr>
        <w:pStyle w:val="VEBodyTextFLI"/>
        <w:rPr/>
      </w:pPr>
      <w:r>
        <w:rPr/>
        <w:t>In such capacity, I am also familiar with the charter and bylaws or other applicable constituent documents of each of the Enron Parties.  Capitalized terms used and not otherwise defined herein have the meanings ascribed to them in the Purchase and Sale Agreement between Enron Corp. and AEP Energy Services Gas Holding Company dated as of December 27, 2000 as amended by Amendment to Purchase and Sale Agreement dated May 17, 2001 and as further amended by Second Amendment to Purchase and Sale Agreement dated effective as of June 1, 2001 (as amended, the “Purchase and Sale Agreement”).</w:t>
      </w:r>
    </w:p>
    <w:p>
      <w:pPr>
        <w:pStyle w:val="Normal"/>
        <w:jc w:val="both"/>
        <w:rPr/>
      </w:pPr>
      <w:r>
        <w:rPr>
          <w:spacing w:val="-3"/>
          <w:sz w:val="24"/>
        </w:rPr>
        <w:tab/>
        <w:t>In rendering the opinions hereinafter set forth, I (or other attorneys in the [Enron] legal department) examined the</w:t>
      </w:r>
      <w:r>
        <w:rPr>
          <w:sz w:val="24"/>
        </w:rPr>
        <w:t xml:space="preserve"> Subject Documents, </w:t>
      </w:r>
      <w:r>
        <w:rPr>
          <w:spacing w:val="-3"/>
          <w:sz w:val="24"/>
        </w:rPr>
        <w:t>and relied upon original, photostatic or certified copies of such agreements, documents, instruments, corporate records, and certificates of officers of the Enron Parties and of public officials as I (or such attorneys) deemed relevant and necessary as the basis for the opinions hereinafter expressed.  In such examination, I (or such attorneys) assumed the genuineness of all signatures (other than signatures of officers of Enron Parties on the Subject Documents), the authenticity of all documents submitted to me (or such attorneys) as originals, and the conformity to original documents of all documents submitted to me (or such attorneys) as photostatic or certified copies.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Based on the foregoing, and subject to the assumptions, qualifications and explanations set forth herein, I am of the opinion that: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sz w:val="24"/>
        </w:rPr>
      </w:pPr>
      <w:r>
        <w:rPr>
          <w:spacing w:val="-3"/>
          <w:sz w:val="24"/>
        </w:rPr>
        <w:t>1.</w:t>
        <w:tab/>
        <w:t>Each of the Enron Parties which is a corporation duly incorporated, validly existing and in good standing under the laws of the jurisdiction of its incorporation.  Each other Enron Party is duly formed and validly existing under the laws of the jurisdiction of its formation.  No action or proceeding to dissolve any Enron Party is pending.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pPr>
      <w:r>
        <w:rPr>
          <w:spacing w:val="-3"/>
          <w:sz w:val="24"/>
        </w:rPr>
        <w:t>2.</w:t>
        <w:tab/>
      </w:r>
      <w:r>
        <w:rPr>
          <w:color w:val="000000"/>
          <w:sz w:val="24"/>
        </w:rPr>
        <w:t>Each corporate Acquired Company is a corporation duly incorporated, validly existing, and in good standing under the laws of the jurisdiction of its incorporation, and each other Acquired Company is duly formed and validly existing under the laws of the jurisdiction of its formation.  Each Acquired Company has all requisite corporate or other power and authority, as applicable, to own, lease, and operate its properties and to carry on its business as now being conducted.  No action or proceeding to dissolve any of the Acquired Companies is pending.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color w:val="000000"/>
          <w:sz w:val="24"/>
        </w:rPr>
      </w:pPr>
      <w:r>
        <w:rPr>
          <w:color w:val="000000"/>
          <w:sz w:val="24"/>
        </w:rPr>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ab/>
        <w:t>3.</w:t>
        <w:tab/>
      </w:r>
      <w:r>
        <w:rPr>
          <w:color w:val="000000"/>
          <w:sz w:val="24"/>
        </w:rPr>
        <w:t xml:space="preserve">Each of the Acquired Companies is duly qualified or licensed to do business as a corporation, limited partnership, or limited liability company, as applicable, and each of the Acquired Companies is in good standing in each of the jurisdictions set forth opposite its name on Schedule 4.2(b) of the </w:t>
      </w:r>
      <w:r>
        <w:rPr>
          <w:sz w:val="24"/>
        </w:rPr>
        <w:t>Purchase and</w:t>
      </w:r>
      <w:r>
        <w:rPr/>
        <w:t xml:space="preserve"> </w:t>
      </w:r>
      <w:r>
        <w:rPr>
          <w:sz w:val="24"/>
        </w:rPr>
        <w:t>Sale</w:t>
      </w:r>
      <w:r>
        <w:rPr/>
        <w:t xml:space="preserve"> </w:t>
      </w:r>
      <w:r>
        <w:rPr>
          <w:color w:val="000000"/>
          <w:sz w:val="24"/>
        </w:rPr>
        <w:t>Agreement</w:t>
      </w:r>
      <w:r>
        <w:rPr>
          <w:b/>
          <w:bCs/>
          <w:color w:val="000000"/>
          <w:sz w:val="24"/>
        </w:rPr>
        <w:t>,</w:t>
      </w:r>
      <w:r>
        <w:rPr>
          <w:color w:val="000000"/>
          <w:sz w:val="24"/>
        </w:rPr>
        <w:t xml:space="preserve"> which are all the jurisdictions in which the property owned, leased, or operated by it or the conduct of its business requires such qualification or licensing, except jurisdictions in which the failure to be so qualified or licensed would not have a Material Adverse Effect on 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suppressAutoHyphens w:val="true"/>
        <w:overflowPunct w:val="false"/>
        <w:autoSpaceDE w:val="false"/>
        <w:ind w:firstLine="1440" w:end="0"/>
        <w:jc w:val="both"/>
        <w:rPr/>
      </w:pPr>
      <w:r>
        <w:rPr>
          <w:spacing w:val="-3"/>
          <w:sz w:val="24"/>
        </w:rPr>
        <w:t>4.</w:t>
        <w:tab/>
      </w:r>
      <w:r>
        <w:rPr>
          <w:color w:val="000000"/>
          <w:sz w:val="24"/>
        </w:rPr>
        <w:t>Each of the Enron Parties and the Acquired Companies has full corporate or limited liability company power and authority to execute, deliver, and perform the Subject Documents to which it is a party.  The execution, delivery, and performance by each of the Enron Parties and the Acquired Companies of the Subject Documents to which it is a party and the consummation by it of the transactions contemplated thereby have been duly authorized by all necessary corporate or limited liability company action of such Enron Party or such Acquired Company.  The Subject Documents to which any Enron Party is a party have been duly and validly executed and delivered by such Enron Party</w:t>
      </w:r>
      <w:r>
        <w:rPr>
          <w:spacing w:val="-3"/>
          <w:sz w:val="24"/>
        </w:rPr>
        <w:t xml:space="preserve">.  </w:t>
      </w:r>
    </w:p>
    <w:p>
      <w:pPr>
        <w:pStyle w:val="Normal"/>
        <w:suppressAutoHyphens w:val="true"/>
        <w:overflowPunct w:val="false"/>
        <w:autoSpaceDE w:val="false"/>
        <w:ind w:firstLine="720" w:start="720" w:end="0"/>
        <w:jc w:val="both"/>
        <w:rPr>
          <w:spacing w:val="-3"/>
          <w:sz w:val="24"/>
        </w:rPr>
      </w:pPr>
      <w:r>
        <w:rPr>
          <w:spacing w:val="-3"/>
          <w:sz w:val="24"/>
        </w:rPr>
      </w:r>
    </w:p>
    <w:p>
      <w:pPr>
        <w:pStyle w:val="Normal"/>
        <w:ind w:firstLine="1440" w:end="0"/>
        <w:jc w:val="both"/>
        <w:rPr/>
      </w:pPr>
      <w:r>
        <w:rPr>
          <w:spacing w:val="-3"/>
          <w:sz w:val="24"/>
        </w:rPr>
        <w:t>5.</w:t>
        <w:tab/>
      </w:r>
      <w:r>
        <w:rPr>
          <w:color w:val="000000"/>
          <w:sz w:val="24"/>
        </w:rPr>
        <w:t>All outstanding shares of capital stock of each corporate Acquired Company have been duly authorized, validly issued and are fully paid and nonassessable.  The Newco Interests and all equity interests of each non-corporate Acquired Company have been validly issued and are fully paid.  To my knowledge, no shares of capital stock or other equity interests of any Acquired Company are subject to, nor have any been issued in violation of, preemptive or similar rights.</w:t>
      </w:r>
    </w:p>
    <w:p>
      <w:pPr>
        <w:pStyle w:val="Normal"/>
        <w:suppressAutoHyphens w:val="true"/>
        <w:overflowPunct w:val="false"/>
        <w:autoSpaceDE w:val="false"/>
        <w:ind w:firstLine="720" w:start="720" w:end="0"/>
        <w:jc w:val="both"/>
        <w:rPr>
          <w:color w:val="000000"/>
          <w:spacing w:val="-3"/>
          <w:sz w:val="24"/>
        </w:rPr>
      </w:pPr>
      <w:r>
        <w:rPr>
          <w:color w:val="000000"/>
          <w:spacing w:val="-3"/>
          <w:sz w:val="24"/>
        </w:rPr>
      </w:r>
    </w:p>
    <w:p>
      <w:pPr>
        <w:pStyle w:val="Normal"/>
        <w:ind w:firstLine="1440" w:end="0"/>
        <w:jc w:val="both"/>
        <w:rPr/>
      </w:pPr>
      <w:r>
        <w:rPr>
          <w:spacing w:val="-3"/>
          <w:sz w:val="24"/>
        </w:rPr>
        <w:t>6.</w:t>
      </w:r>
      <w:r>
        <w:rPr>
          <w:color w:val="000000"/>
          <w:sz w:val="24"/>
        </w:rPr>
        <w:t xml:space="preserve"> </w:t>
        <w:tab/>
        <w:t xml:space="preserve">To my knowledge, there are outstanding (i) no securities of any Acquired Company convertible into or exchangeable for shares of capital stock or other voting securities of any Acquired Company, (ii) no options or other rights to acquire, and no obligation to issue or sell, any shares of capital stock or other voting securities of any Acquired Company or any securities convertible into or exchangeable for such capital stock or voting securities, and (iii) no equity equivalents or other similar rights of or with respect to any Acquired Company. </w:t>
      </w:r>
      <w:r>
        <w:rPr>
          <w:b/>
          <w:bCs/>
          <w:color w:val="000000"/>
          <w:sz w:val="24"/>
        </w:rPr>
        <w:t xml:space="preserve"> </w:t>
      </w:r>
      <w:r>
        <w:rPr>
          <w:color w:val="000000"/>
          <w:sz w:val="24"/>
        </w:rPr>
        <w:t>To my knowledge, there are no outstanding obligations to repurchase, redeem, retire or otherwise acquire any of the foregoing shares, securities, options, equity equivalents, interests or rights, to make any distributions in respect thereto, in any Person or Persons.</w:t>
      </w:r>
    </w:p>
    <w:p>
      <w:pPr>
        <w:pStyle w:val="Normal"/>
        <w:suppressAutoHyphens w:val="true"/>
        <w:overflowPunct w:val="false"/>
        <w:autoSpaceDE w:val="false"/>
        <w:jc w:val="both"/>
        <w:rPr>
          <w:color w:val="000000"/>
          <w:spacing w:val="-3"/>
          <w:sz w:val="24"/>
        </w:rPr>
      </w:pPr>
      <w:r>
        <w:rPr>
          <w:color w:val="000000"/>
          <w:spacing w:val="-3"/>
          <w:sz w:val="24"/>
        </w:rPr>
      </w:r>
    </w:p>
    <w:p>
      <w:pPr>
        <w:pStyle w:val="Normal"/>
        <w:suppressAutoHyphens w:val="true"/>
        <w:overflowPunct w:val="false"/>
        <w:autoSpaceDE w:val="false"/>
        <w:ind w:firstLine="1440" w:end="0"/>
        <w:jc w:val="both"/>
        <w:rPr>
          <w:spacing w:val="-3"/>
          <w:sz w:val="24"/>
        </w:rPr>
      </w:pPr>
      <w:r>
        <w:rPr>
          <w:spacing w:val="-3"/>
          <w:sz w:val="24"/>
        </w:rPr>
        <w:t>7.</w:t>
        <w:tab/>
        <w:t>The execution and delivery by each Enron Party and Acquired Company of the Subject Documents to which it is a party do not, and the performance by such Enron Party and Acquired Company of its obligations thereunder will not, contravene, conflict with or result in any breach of any of the provisions of, or constitute a default under, (i) the certificate of incorporation or by</w:t>
        <w:noBreakHyphen/>
        <w:t>laws or other applicable constituent documents of such Enron Party, (ii) any provision of any Applicable Law applicable to such Enron Party, or (iii) to my knowledge, (A) any material (for purposes of this subsection, meaning those creating a monetary liability of $100,000,000 or more) agreement, contract, or instrument to which such Enron Party or Acquired Company is a party or by which such Enron Party or Acquired Company or any of its properties is bound or (B) any writ, judgment, injunction, decree, determination, or award of such court or other Governmental Authority known to me by which any Enron Party or Acquired Company or any of their respective properties is bound.</w:t>
      </w:r>
    </w:p>
    <w:p>
      <w:pPr>
        <w:pStyle w:val="Normal"/>
        <w:suppressAutoHyphens w:val="true"/>
        <w:overflowPunct w:val="false"/>
        <w:autoSpaceDE w:val="false"/>
        <w:ind w:firstLine="720" w:start="720" w:end="0"/>
        <w:jc w:val="both"/>
        <w:rPr>
          <w:spacing w:val="-3"/>
          <w:sz w:val="24"/>
        </w:rPr>
      </w:pPr>
      <w:r>
        <w:rPr>
          <w:spacing w:val="-3"/>
          <w:sz w:val="24"/>
        </w:rPr>
      </w:r>
    </w:p>
    <w:p>
      <w:pPr>
        <w:pStyle w:val="Normal"/>
        <w:ind w:firstLine="1440" w:end="0"/>
        <w:jc w:val="both"/>
        <w:rPr>
          <w:spacing w:val="-3"/>
          <w:sz w:val="24"/>
        </w:rPr>
      </w:pPr>
      <w:r>
        <w:rPr>
          <w:spacing w:val="-3"/>
          <w:sz w:val="24"/>
        </w:rPr>
        <w:t>8.</w:t>
        <w:tab/>
        <w:t>To my knowledge and except as disclosed in Enron Corp.’s filings made with the Securities and Exchange Commission, there is no action, suit, legal or arbitral proceeding or investigation at law or in equity or by or before any court or administrative agency pending or threatened against any of the Enron Parties or the Acquired Companies which would reasonably be expected to have a Material Adverse Effect on any of the Enron Parties’ or Acquired Companies’ ability to perform its obligations under the Subject Documents.</w:t>
      </w:r>
    </w:p>
    <w:p>
      <w:pPr>
        <w:pStyle w:val="Normal"/>
        <w:suppressAutoHyphens w:val="true"/>
        <w:overflowPunct w:val="false"/>
        <w:autoSpaceDE w:val="false"/>
        <w:ind w:firstLine="720" w:start="720"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The opinions set forth above are subject in all respects to the following qualifications: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(a)</w:t>
        <w:tab/>
        <w:t xml:space="preserve">With respect to the opinions in Paragraphs 1, 2 and 3 herein, relating to existence, good standing and foreign qualification, I have relied exclusively on a review of certificates of good standing as of a recent date from the relevant jurisdiction or, in certain cases, a review of the electronic files of the Secretary of State of [Delaware] available to the public.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(b)</w:t>
        <w:tab/>
        <w:t>In rendering the opinion expressed in paragraph 4 above, I (or other attorneys in the Enron legal department) have only reviewed the files and records of the Enron Parties, and have consulted with such senior officers of the Enron Parties as I (or such attorneys) have deemed necessary.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(c)</w:t>
        <w:tab/>
        <w:t xml:space="preserve">In rendering the opinion expressed in paragraph 7 above, neither I nor any other attorney in the Enron legal department has made any examination of any accounting or financial matters related to covenants contained in certain documents to which the Enron Parties may be subject, and I express no opinion with respect thereto.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(d)</w:t>
        <w:tab/>
        <w:t>The opinions expressed herein are as of the date hereof only, and I assume no obligation to update or supplement such opinions to reflect any fact or circumstance that may hereafter come to my attention, or any changes in law that may hereafter occur or become effective.</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(e)</w:t>
        <w:tab/>
        <w:t xml:space="preserve">I am a member of the bar of the State of Texas.  This opinion is limited in all respects to the laws of the State of Texas and the federal laws of the United States.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BodyTextIndent3"/>
        <w:rPr/>
      </w:pPr>
      <w:r>
        <w:rPr/>
        <w:t>This opinion is furnished in connection with the transactions contemplated by the Subject Documents and may not be relied upon in connection with any other transaction or by any person other than you; provided, however, Vinson &amp; Elkins L.L.P. may rely upon this opinion for purposes of rendering its opinion in connection with the Subject Documents.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ab/>
        <w:tab/>
        <w:tab/>
        <w:tab/>
        <w:tab/>
        <w:t>Very truly yours,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Enron_Parties_Opinion.DOC</w:t>
    </w:r>
    <w:r>
      <w:rPr>
        <w:rStyle w:val="VEDocumentInformation"/>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outlineLvl w:val="0"/>
    </w:pPr>
    <w:rPr>
      <w:b/>
      <w:spacing w:val="-3"/>
      <w:sz w:val="2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pPr>
    <w:rPr>
      <w:spacing w:val="-3"/>
      <w:sz w:val="24"/>
    </w:rPr>
  </w:style>
  <w:style w:type="paragraph" w:styleId="BodyTextIndent3">
    <w:name w:val="Body Text Indent 3"/>
    <w:basedOn w:val="Normal"/>
    <w:qFormat/>
    <w:pPr>
      <w:ind w:firstLine="720" w:start="0" w:end="0"/>
      <w:jc w:val="both"/>
    </w:pPr>
    <w:rPr>
      <w:sz w:val="24"/>
    </w:rPr>
  </w:style>
  <w:style w:type="paragraph" w:styleId="BodyTextIndent2">
    <w:name w:val="Body Text Indent 2"/>
    <w:basedOn w:val="Normal"/>
    <w:qFormat/>
    <w:pPr>
      <w:spacing w:lineRule="atLeast" w:line="240"/>
      <w:ind w:firstLine="720" w:start="720" w:end="0"/>
    </w:pPr>
    <w:rPr>
      <w:color w:val="000000"/>
      <w:sz w:val="24"/>
    </w:rPr>
  </w:style>
  <w:style w:type="paragraph" w:styleId="VEAlignedText">
    <w:name w:val="VE Aligned Text"/>
    <w:basedOn w:val="Normal"/>
    <w:qFormat/>
    <w:pPr>
      <w:tabs>
        <w:tab w:val="clear" w:pos="720"/>
        <w:tab w:val="center" w:pos="4680" w:leader="none"/>
        <w:tab w:val="right" w:pos="9360" w:leader="none"/>
      </w:tabs>
      <w:jc w:val="both"/>
    </w:pPr>
    <w:rPr>
      <w:rFonts w:cs="Arial"/>
      <w:sz w:val="24"/>
      <w:szCs w:val="24"/>
    </w:rPr>
  </w:style>
  <w:style w:type="paragraph" w:styleId="VEBodyTextFLI">
    <w:name w:val="VE Body Text FLI"/>
    <w:basedOn w:val="Normal"/>
    <w:qFormat/>
    <w:pPr>
      <w:spacing w:before="0" w:after="240"/>
      <w:ind w:firstLine="720" w:start="0" w:end="0"/>
      <w:jc w:val="both"/>
    </w:pPr>
    <w:rPr>
      <w:rFonts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2001-05-24T21:50:00Z</dcterms:created>
  <dc:creator>Enron</dc:creator>
  <dc:description/>
  <dc:language>en-CA</dc:language>
  <cp:lastModifiedBy>Vinson &amp; Elkins</cp:lastModifiedBy>
  <cp:lastPrinted>2001-05-24T19:10:00Z</cp:lastPrinted>
  <dcterms:modified xsi:type="dcterms:W3CDTF">2001-05-24T21:50:00Z</dcterms:modified>
  <cp:revision>2</cp:revision>
  <dc:subject/>
  <dc:title>	December _____, 1997</dc:title>
</cp:coreProperties>
</file>