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perTitle"/>
        <w:spacing w:lineRule="auto" w:line="240" w:before="120" w:after="120"/>
        <w:ind w:hanging="0" w:end="0"/>
        <w:rPr/>
      </w:pPr>
      <w:r>
        <w:rPr/>
        <w:t>Transforming Enron Corporation as an Act of Managerial Will—The Value of Active Management</w:t>
      </w:r>
    </w:p>
    <w:p>
      <w:pPr>
        <w:pStyle w:val="PaperTitle"/>
        <w:spacing w:lineRule="auto" w:line="240"/>
        <w:ind w:hanging="0" w:end="0"/>
        <w:rPr/>
      </w:pPr>
      <w:r>
        <w:rPr/>
      </w:r>
    </w:p>
    <w:sdt>
      <w:sdtPr>
        <w:docPartObj>
          <w:docPartGallery w:val="Table of Contents"/>
          <w:docPartUnique w:val="true"/>
        </w:docPartObj>
      </w:sdtPr>
      <w:sdtContent>
        <w:p>
          <w:pPr>
            <w:pStyle w:val="TOC1"/>
            <w:tabs>
              <w:tab w:val="clear" w:pos="720"/>
              <w:tab w:val="right" w:pos="8630" w:leader="dot"/>
            </w:tabs>
            <w:rPr>
              <w:b w:val="false"/>
              <w:bCs w:val="false"/>
              <w:caps w:val="false"/>
              <w:smallCaps w:val="false"/>
              <w:lang w:val="en-CA" w:eastAsia="en-CA"/>
            </w:rPr>
          </w:pPr>
          <w:r>
            <w:fldChar w:fldCharType="begin"/>
          </w:r>
          <w:r>
            <w:rPr>
              <w:rStyle w:val="IndexLink"/>
              <w:szCs w:val="28"/>
              <w:lang w:val="en-CA" w:eastAsia="en-CA"/>
            </w:rPr>
            <w:instrText xml:space="preserve"> TOC \o "1-3" \h \z </w:instrText>
          </w:r>
          <w:r>
            <w:rPr>
              <w:rStyle w:val="IndexLink"/>
              <w:szCs w:val="28"/>
              <w:lang w:val="en-CA" w:eastAsia="en-CA"/>
            </w:rPr>
            <w:fldChar w:fldCharType="separate"/>
          </w:r>
          <w:hyperlink w:anchor="__RefHeading___Toc504538905">
            <w:r>
              <w:rPr>
                <w:rStyle w:val="IndexLink"/>
                <w:szCs w:val="28"/>
                <w:lang w:val="en-CA" w:eastAsia="en-CA"/>
              </w:rPr>
              <w:t>Introduction</w:t>
            </w:r>
            <w:r>
              <w:rPr>
                <w:rStyle w:val="IndexLink"/>
                <w:lang w:val="en-CA" w:eastAsia="en-CA"/>
              </w:rPr>
              <w:tab/>
              <w:t>1</w:t>
            </w:r>
          </w:hyperlink>
        </w:p>
        <w:p>
          <w:pPr>
            <w:pStyle w:val="TOC1"/>
            <w:tabs>
              <w:tab w:val="clear" w:pos="720"/>
              <w:tab w:val="right" w:pos="8630" w:leader="dot"/>
            </w:tabs>
            <w:rPr>
              <w:b w:val="false"/>
              <w:bCs w:val="false"/>
              <w:caps w:val="false"/>
              <w:smallCaps w:val="false"/>
              <w:lang w:val="en-CA" w:eastAsia="en-CA"/>
            </w:rPr>
          </w:pPr>
          <w:hyperlink w:anchor="__RefHeading___Toc504538906">
            <w:r>
              <w:rPr>
                <w:rStyle w:val="IndexLink"/>
                <w:szCs w:val="28"/>
                <w:lang w:val="en-CA" w:eastAsia="en-CA"/>
              </w:rPr>
              <w:t>The impetus for change</w:t>
            </w:r>
            <w:r>
              <w:rPr>
                <w:rStyle w:val="IndexLink"/>
                <w:lang w:val="en-CA" w:eastAsia="en-CA"/>
              </w:rPr>
              <w:tab/>
              <w:t>3</w:t>
            </w:r>
          </w:hyperlink>
        </w:p>
        <w:p>
          <w:pPr>
            <w:pStyle w:val="TOC1"/>
            <w:tabs>
              <w:tab w:val="clear" w:pos="720"/>
              <w:tab w:val="right" w:pos="8630" w:leader="dot"/>
            </w:tabs>
            <w:rPr>
              <w:b w:val="false"/>
              <w:bCs w:val="false"/>
              <w:caps w:val="false"/>
              <w:smallCaps w:val="false"/>
              <w:lang w:val="en-CA" w:eastAsia="en-CA"/>
            </w:rPr>
          </w:pPr>
          <w:hyperlink w:anchor="__RefHeading___Toc504538907">
            <w:r>
              <w:rPr>
                <w:rStyle w:val="IndexLink"/>
                <w:szCs w:val="28"/>
                <w:lang w:val="en-CA" w:eastAsia="en-CA"/>
              </w:rPr>
              <w:t>The Enron business strategy</w:t>
            </w:r>
            <w:r>
              <w:rPr>
                <w:rStyle w:val="IndexLink"/>
                <w:lang w:val="en-CA" w:eastAsia="en-CA"/>
              </w:rPr>
              <w:tab/>
              <w:t>6</w:t>
            </w:r>
          </w:hyperlink>
        </w:p>
        <w:p>
          <w:pPr>
            <w:pStyle w:val="TOC2"/>
            <w:tabs>
              <w:tab w:val="clear" w:pos="720"/>
              <w:tab w:val="right" w:pos="8630" w:leader="dot"/>
            </w:tabs>
            <w:rPr>
              <w:caps w:val="false"/>
              <w:smallCaps w:val="false"/>
              <w:lang w:val="en-CA" w:eastAsia="en-CA"/>
            </w:rPr>
          </w:pPr>
          <w:hyperlink w:anchor="__RefHeading___Toc504538908">
            <w:r>
              <w:rPr>
                <w:rStyle w:val="IndexLink"/>
                <w:lang w:val="en-CA" w:eastAsia="en-CA"/>
              </w:rPr>
              <w:t>Personnel policies</w:t>
              <w:tab/>
              <w:t>8</w:t>
            </w:r>
          </w:hyperlink>
        </w:p>
        <w:p>
          <w:pPr>
            <w:pStyle w:val="TOC2"/>
            <w:tabs>
              <w:tab w:val="clear" w:pos="720"/>
              <w:tab w:val="right" w:pos="8630" w:leader="dot"/>
            </w:tabs>
            <w:rPr>
              <w:caps w:val="false"/>
              <w:smallCaps w:val="false"/>
              <w:lang w:val="en-CA" w:eastAsia="en-CA"/>
            </w:rPr>
          </w:pPr>
          <w:hyperlink w:anchor="__RefHeading___Toc504538909">
            <w:r>
              <w:rPr>
                <w:rStyle w:val="IndexLink"/>
                <w:lang w:val="en-CA" w:eastAsia="en-CA"/>
              </w:rPr>
              <w:t>Corporate Risk Management</w:t>
              <w:tab/>
              <w:t>9</w:t>
            </w:r>
          </w:hyperlink>
        </w:p>
        <w:p>
          <w:pPr>
            <w:pStyle w:val="TOC2"/>
            <w:tabs>
              <w:tab w:val="clear" w:pos="720"/>
              <w:tab w:val="right" w:pos="8630" w:leader="dot"/>
            </w:tabs>
            <w:rPr>
              <w:caps w:val="false"/>
              <w:smallCaps w:val="false"/>
              <w:lang w:val="en-CA" w:eastAsia="en-CA"/>
            </w:rPr>
          </w:pPr>
          <w:hyperlink w:anchor="__RefHeading___Toc504538910">
            <w:r>
              <w:rPr>
                <w:rStyle w:val="IndexLink"/>
                <w:lang w:val="en-CA" w:eastAsia="en-CA"/>
              </w:rPr>
              <w:t>Financial Reporting</w:t>
              <w:tab/>
              <w:t>13</w:t>
            </w:r>
          </w:hyperlink>
        </w:p>
        <w:p>
          <w:pPr>
            <w:pStyle w:val="TOC2"/>
            <w:tabs>
              <w:tab w:val="clear" w:pos="720"/>
              <w:tab w:val="right" w:pos="8630" w:leader="dot"/>
            </w:tabs>
            <w:rPr>
              <w:caps w:val="false"/>
              <w:smallCaps w:val="false"/>
              <w:lang w:val="en-CA" w:eastAsia="en-CA"/>
            </w:rPr>
          </w:pPr>
          <w:hyperlink w:anchor="__RefHeading___Toc504538911">
            <w:r>
              <w:rPr>
                <w:rStyle w:val="IndexLink"/>
                <w:lang w:val="en-CA" w:eastAsia="en-CA"/>
              </w:rPr>
              <w:t>Other features of the Enron business model</w:t>
              <w:tab/>
              <w:t>14</w:t>
            </w:r>
          </w:hyperlink>
        </w:p>
        <w:p>
          <w:pPr>
            <w:pStyle w:val="TOC3"/>
            <w:tabs>
              <w:tab w:val="clear" w:pos="720"/>
              <w:tab w:val="right" w:pos="8630" w:leader="dot"/>
            </w:tabs>
            <w:rPr>
              <w:i w:val="false"/>
              <w:i w:val="false"/>
              <w:iCs w:val="false"/>
              <w:lang w:val="en-CA" w:eastAsia="en-CA"/>
            </w:rPr>
          </w:pPr>
          <w:hyperlink w:anchor="__RefHeading___Toc504538912">
            <w:r>
              <w:rPr>
                <w:rStyle w:val="IndexLink"/>
                <w:lang w:val="en-CA" w:eastAsia="en-CA"/>
              </w:rPr>
              <w:t>Combining Physical Assets and Financial Instruments</w:t>
              <w:tab/>
              <w:t>14</w:t>
            </w:r>
          </w:hyperlink>
        </w:p>
        <w:p>
          <w:pPr>
            <w:pStyle w:val="TOC3"/>
            <w:tabs>
              <w:tab w:val="clear" w:pos="720"/>
              <w:tab w:val="right" w:pos="8630" w:leader="dot"/>
            </w:tabs>
            <w:rPr>
              <w:i w:val="false"/>
              <w:i w:val="false"/>
              <w:iCs w:val="false"/>
              <w:lang w:val="en-CA" w:eastAsia="en-CA"/>
            </w:rPr>
          </w:pPr>
          <w:hyperlink w:anchor="__RefHeading___Toc504538913">
            <w:r>
              <w:rPr>
                <w:rStyle w:val="IndexLink"/>
                <w:lang w:val="en-CA" w:eastAsia="en-CA"/>
              </w:rPr>
              <w:t>Capitalizing on Opportunities in Deregulating Markets</w:t>
              <w:tab/>
              <w:t>15</w:t>
            </w:r>
          </w:hyperlink>
        </w:p>
        <w:p>
          <w:pPr>
            <w:pStyle w:val="TOC3"/>
            <w:tabs>
              <w:tab w:val="clear" w:pos="720"/>
              <w:tab w:val="right" w:pos="8630" w:leader="dot"/>
            </w:tabs>
            <w:rPr>
              <w:i w:val="false"/>
              <w:i w:val="false"/>
              <w:iCs w:val="false"/>
              <w:lang w:val="en-CA" w:eastAsia="en-CA"/>
            </w:rPr>
          </w:pPr>
          <w:hyperlink w:anchor="__RefHeading___Toc504538914">
            <w:r>
              <w:rPr>
                <w:rStyle w:val="IndexLink"/>
                <w:lang w:val="en-CA" w:eastAsia="en-CA"/>
              </w:rPr>
              <w:t>Focusing on Asset Optionality</w:t>
              <w:tab/>
              <w:t>15</w:t>
            </w:r>
          </w:hyperlink>
        </w:p>
        <w:p>
          <w:pPr>
            <w:pStyle w:val="TOC3"/>
            <w:tabs>
              <w:tab w:val="clear" w:pos="720"/>
              <w:tab w:val="right" w:pos="8630" w:leader="dot"/>
            </w:tabs>
            <w:rPr>
              <w:i w:val="false"/>
              <w:i w:val="false"/>
              <w:iCs w:val="false"/>
              <w:lang w:val="en-CA" w:eastAsia="en-CA"/>
            </w:rPr>
          </w:pPr>
          <w:hyperlink w:anchor="__RefHeading___Toc504538915">
            <w:r>
              <w:rPr>
                <w:rStyle w:val="IndexLink"/>
                <w:lang w:val="en-CA" w:eastAsia="en-CA"/>
              </w:rPr>
              <w:t>Organizing Around a Network Strategy</w:t>
              <w:tab/>
              <w:t>16</w:t>
            </w:r>
          </w:hyperlink>
        </w:p>
        <w:p>
          <w:pPr>
            <w:pStyle w:val="TOC1"/>
            <w:tabs>
              <w:tab w:val="clear" w:pos="720"/>
              <w:tab w:val="right" w:pos="8630" w:leader="dot"/>
            </w:tabs>
            <w:rPr>
              <w:b w:val="false"/>
              <w:bCs w:val="false"/>
              <w:caps w:val="false"/>
              <w:smallCaps w:val="false"/>
              <w:lang w:val="en-CA" w:eastAsia="en-CA"/>
            </w:rPr>
          </w:pPr>
          <w:hyperlink w:anchor="__RefHeading___Toc504538916">
            <w:r>
              <w:rPr>
                <w:rStyle w:val="IndexLink"/>
                <w:szCs w:val="28"/>
                <w:lang w:val="en-CA" w:eastAsia="en-CA"/>
              </w:rPr>
              <w:t>Conclusion:  Lessons Learned</w:t>
            </w:r>
            <w:r>
              <w:rPr>
                <w:rStyle w:val="IndexLink"/>
                <w:lang w:val="en-CA" w:eastAsia="en-CA"/>
              </w:rPr>
              <w:tab/>
              <w:t>17</w:t>
            </w:r>
          </w:hyperlink>
        </w:p>
        <w:p>
          <w:pPr>
            <w:pStyle w:val="TOC1"/>
            <w:tabs>
              <w:tab w:val="clear" w:pos="720"/>
              <w:tab w:val="right" w:pos="8630" w:leader="dot"/>
            </w:tabs>
            <w:rPr>
              <w:b w:val="false"/>
              <w:bCs w:val="false"/>
              <w:caps w:val="false"/>
              <w:smallCaps w:val="false"/>
              <w:lang w:val="en-CA" w:eastAsia="en-CA"/>
            </w:rPr>
          </w:pPr>
          <w:hyperlink w:anchor="__RefHeading___Toc504538917">
            <w:r>
              <w:rPr>
                <w:rStyle w:val="IndexLink"/>
                <w:szCs w:val="28"/>
                <w:lang w:val="en-CA" w:eastAsia="en-CA"/>
              </w:rPr>
              <w:t>References</w:t>
            </w:r>
            <w:r>
              <w:rPr>
                <w:rStyle w:val="IndexLink"/>
                <w:lang w:val="en-CA" w:eastAsia="en-CA"/>
              </w:rPr>
              <w:tab/>
              <w:t>20</w:t>
            </w:r>
          </w:hyperlink>
        </w:p>
        <w:p>
          <w:pPr>
            <w:pStyle w:val="TOC1"/>
            <w:tabs>
              <w:tab w:val="clear" w:pos="720"/>
              <w:tab w:val="right" w:pos="8630" w:leader="dot"/>
            </w:tabs>
            <w:rPr>
              <w:bCs w:val="false"/>
              <w:lang w:val="en-CA" w:eastAsia="en-CA"/>
            </w:rPr>
          </w:pPr>
          <w:hyperlink w:anchor="__RefHeading___Toc504538918">
            <w:r>
              <w:rPr>
                <w:rStyle w:val="IndexLink"/>
                <w:b w:val="false"/>
                <w:caps w:val="false"/>
                <w:smallCaps w:val="false"/>
                <w:szCs w:val="28"/>
                <w:lang w:val="en-CA" w:eastAsia="en-CA"/>
              </w:rPr>
              <w:t>Appendix A—Enron Rating Descriptions</w:t>
            </w:r>
            <w:r>
              <w:rPr>
                <w:rStyle w:val="IndexLink"/>
                <w:b w:val="false"/>
                <w:caps w:val="false"/>
                <w:smallCaps w:val="false"/>
                <w:lang w:val="en-CA" w:eastAsia="en-CA"/>
              </w:rPr>
              <w:tab/>
              <w:t>21</w:t>
            </w:r>
          </w:hyperlink>
          <w:r>
            <w:rPr>
              <w:rStyle w:val="IndexLink"/>
              <w:smallCaps w:val="false"/>
              <w:caps w:val="false"/>
              <w:b w:val="false"/>
              <w:lang w:val="en-CA" w:eastAsia="en-CA"/>
            </w:rPr>
            <w:fldChar w:fldCharType="end"/>
          </w:r>
        </w:p>
      </w:sdtContent>
    </w:sdt>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PaperTitle"/>
        <w:numPr>
          <w:ilvl w:val="0"/>
          <w:numId w:val="0"/>
        </w:numPr>
        <w:ind w:firstLine="720" w:start="0"/>
        <w:rPr>
          <w:b/>
          <w:bCs w:val="false"/>
          <w:caps/>
          <w:lang w:val="en-CA" w:eastAsia="en-CA"/>
        </w:rPr>
      </w:pPr>
      <w:r>
        <w:rPr>
          <w:b/>
          <w:bCs w:val="false"/>
          <w:caps/>
          <w:lang w:val="en-CA" w:eastAsia="en-CA"/>
        </w:rPr>
      </w:r>
    </w:p>
    <w:p>
      <w:pPr>
        <w:pStyle w:val="PaperTitle"/>
        <w:spacing w:lineRule="auto" w:line="240"/>
        <w:ind w:hanging="0" w:end="0"/>
        <w:rPr/>
      </w:pPr>
      <w:r>
        <w:rPr/>
        <w:t>Transforming Enron Corporation as an Act of Managerial Will—The Value of Active Management</w:t>
      </w:r>
      <w:r>
        <w:rPr>
          <w:rStyle w:val="FootnoteCharacters"/>
          <w:rStyle w:val="FootnoteReference"/>
        </w:rPr>
        <w:footnoteReference w:customMarkFollows="1" w:id="2"/>
        <w:t>*</w:t>
      </w:r>
      <w:r>
        <w:rPr/>
        <w:t xml:space="preserve"> </w:t>
      </w:r>
    </w:p>
    <w:p>
      <w:pPr>
        <w:pStyle w:val="BodyText"/>
        <w:spacing w:lineRule="auto" w:line="240" w:before="0" w:after="0"/>
        <w:ind w:hanging="0" w:end="0"/>
        <w:jc w:val="center"/>
        <w:rPr>
          <w:sz w:val="20"/>
        </w:rPr>
      </w:pPr>
      <w:r>
        <w:rPr>
          <w:sz w:val="20"/>
        </w:rPr>
        <w:t>Vince Kaminski (Director of Research, Enron Corporation, Houston, TX) and John Martin (Carr P. Collins Chair of Finance, Baylor University, Waco, TX)</w:t>
      </w:r>
    </w:p>
    <w:p>
      <w:pPr>
        <w:pStyle w:val="Heading1"/>
        <w:rPr/>
      </w:pPr>
      <w:bookmarkStart w:id="0" w:name="__RefHeading___Toc504538905"/>
      <w:bookmarkEnd w:id="0"/>
      <w:r>
        <w:rPr/>
        <w:t>Introduction</w:t>
      </w:r>
    </w:p>
    <w:p>
      <w:pPr>
        <w:pStyle w:val="Normal"/>
        <w:rPr/>
      </w:pPr>
      <w:r>
        <w:rPr/>
        <w:t>Virtually every firm that has existed for many years has gone through one or more transformations.  Typically, the transformation process is precipitated by some external event that impacts the firm through its connection to the general economy or the firm's competitive environment.  If the management's reaction is successful the firm will survive and may even prosper.  The Sealed Air Corporation provides one such example.</w:t>
      </w:r>
      <w:r>
        <w:rPr>
          <w:rStyle w:val="FootnoteCharacters"/>
          <w:rStyle w:val="FootnoteReference"/>
        </w:rPr>
        <w:footnoteReference w:id="3"/>
      </w:r>
      <w:r>
        <w:rPr/>
        <w:t xml:space="preserve">  In 1989, less than a year after the firm had embarked on a program to improve manufacturing efficiency and product quality, the company borrowed almost 90% of the market value of its common stock and paid it out as a special dividend to shareholders.  Management purposefully and successfully used the leveraged recapitalization as a watershed event to create a crisis that disrupted the status quo and promoted internal change.  These changes included establishing a new set of corporate objectives, altering the firm's compensation system, and reorganizing the manufacturing and capital budgeting processes.  </w:t>
      </w:r>
      <w:r>
        <w:rPr>
          <w:szCs w:val="20"/>
        </w:rPr>
        <w:t xml:space="preserve">However, the transformation of Sealed Air pales when compared to the ongoing transformation process initiated at the Enron Corporation.  Enron's commitment to the invention—and later domination—of new business categories has taken it from a $200 million old-economy pipeline operator to a $40 billion new-economy trading powerhouse in just over a decade. </w:t>
      </w:r>
    </w:p>
    <w:p>
      <w:pPr>
        <w:pStyle w:val="Normal"/>
        <w:rPr/>
      </w:pPr>
      <w:r>
        <w:rPr/>
        <w:t xml:space="preserve">Enron Corporation was formed through the merger of InterNorth and Houston Natural Gas Corporation in 1985.  The origins of the firm can be traced back to 1930 when the Northern Natural Gas Company was organized in Omaha, Nebraska by three companies:  North American Light &amp; Power Co., United Light &amp; Railways Co., and Lone Star Corporation.  However, the modern history of the firm stands in marked contrast to its beginnings.  </w:t>
      </w:r>
    </w:p>
    <w:p>
      <w:pPr>
        <w:pStyle w:val="Normal"/>
        <w:rPr/>
      </w:pPr>
      <w:r>
        <w:rPr/>
        <w:t xml:space="preserve">Today the Enron Corporation is the leading power marketer in the world and is also a leader in applying the skills developed from competing in the deregulation of the natural gas market to similar situations in the electric power market and most recently in the developing market for broadband.  Enron has been named </w:t>
      </w:r>
      <w:r>
        <w:rPr>
          <w:u w:val="single"/>
        </w:rPr>
        <w:t>Fortune Magazine's</w:t>
      </w:r>
      <w:r>
        <w:rPr/>
        <w:t xml:space="preserve"> </w:t>
      </w:r>
      <w:r>
        <w:rPr>
          <w:i/>
          <w:iCs/>
        </w:rPr>
        <w:t>Most Innovative Company</w:t>
      </w:r>
      <w:r>
        <w:rPr/>
        <w:t xml:space="preserve"> for five straight years, and in 2000 joined the Fortune's list of </w:t>
      </w:r>
      <w:r>
        <w:rPr>
          <w:i/>
          <w:iCs/>
        </w:rPr>
        <w:t>Most Admired Companies</w:t>
      </w:r>
      <w:r>
        <w:rPr/>
        <w:t xml:space="preserve"> and </w:t>
      </w:r>
      <w:r>
        <w:rPr>
          <w:i/>
          <w:iCs/>
        </w:rPr>
        <w:t>100 Best Companies to Work for in America</w:t>
      </w:r>
      <w:r>
        <w:rPr/>
        <w:t xml:space="preserve">.  The </w:t>
      </w:r>
      <w:r>
        <w:rPr>
          <w:u w:val="single"/>
        </w:rPr>
        <w:t>Financial Times</w:t>
      </w:r>
      <w:r>
        <w:rPr/>
        <w:t xml:space="preserve"> also selected Enron as the </w:t>
      </w:r>
      <w:r>
        <w:rPr>
          <w:i/>
          <w:iCs/>
        </w:rPr>
        <w:t>Energy Company of the Year</w:t>
      </w:r>
      <w:r>
        <w:rPr/>
        <w:t xml:space="preserve"> for 2000 and recognized Enron for making the </w:t>
      </w:r>
      <w:r>
        <w:rPr>
          <w:i/>
          <w:iCs/>
        </w:rPr>
        <w:t>Boldest Successful Investment Decision</w:t>
      </w:r>
      <w:r>
        <w:rPr/>
        <w:t xml:space="preserve"> based on the company's $100 million investment in EnronOnline.</w:t>
      </w:r>
    </w:p>
    <w:p>
      <w:pPr>
        <w:pStyle w:val="Normal"/>
        <w:rPr/>
      </w:pPr>
      <w:r>
        <w:rPr/>
        <w:t>In this paper we describe for the first time the blueprint underlying the transformation of Enron from the perspective of the firm's top management.  We document the strategy used and its implementation in the words of CEO Ken Lay, President and COO Jeff Skilling, CFO Andy Fastow, and Director of Human Relations Cindy Olsen.</w:t>
      </w:r>
      <w:r>
        <w:rPr>
          <w:rStyle w:val="FootnoteCharacters"/>
          <w:rStyle w:val="FootnoteReference"/>
        </w:rPr>
        <w:footnoteReference w:id="4"/>
      </w:r>
      <w:r>
        <w:rPr/>
        <w:t xml:space="preserve">  </w:t>
      </w:r>
    </w:p>
    <w:p>
      <w:pPr>
        <w:pStyle w:val="Heading1"/>
        <w:rPr/>
      </w:pPr>
      <w:bookmarkStart w:id="1" w:name="__RefHeading___Toc504538906"/>
      <w:r>
        <w:rPr/>
        <w:t>The impetus for change</w:t>
      </w:r>
      <w:bookmarkEnd w:id="1"/>
      <w:r>
        <w:rPr/>
        <w:t xml:space="preserve"> </w:t>
      </w:r>
    </w:p>
    <w:p>
      <w:pPr>
        <w:pStyle w:val="Normal"/>
        <w:rPr/>
      </w:pPr>
      <w:r>
        <w:rPr/>
        <w:t>The evolution of Enron from regulated pipeline to the competitive juggernaut we see today was a result of both external forces and strategic choices made by its management.  History documents that Enron's creation in 1985 came on the eve of the energy crisis of 1986.  As a result of falling gas prices coupled with two unrelated company disasters, the newly formed company had a "near death" experience in the difficult 1986-87 period.</w:t>
      </w:r>
      <w:r>
        <w:rPr>
          <w:rStyle w:val="FootnoteCharacters"/>
          <w:rStyle w:val="FootnoteReference"/>
        </w:rPr>
        <w:footnoteReference w:id="5"/>
      </w:r>
      <w:r>
        <w:rPr/>
        <w:t xml:space="preserve">   </w:t>
      </w:r>
      <w:r>
        <mc:AlternateContent>
          <mc:Choice Requires="wps">
            <w:drawing>
              <wp:anchor behindDoc="1" distT="0" distB="0" distL="114935" distR="114935" simplePos="0" locked="0" layoutInCell="0" allowOverlap="1" relativeHeight="2">
                <wp:simplePos x="0" y="0"/>
                <wp:positionH relativeFrom="column">
                  <wp:posOffset>2757805</wp:posOffset>
                </wp:positionH>
                <wp:positionV relativeFrom="paragraph">
                  <wp:posOffset>31115</wp:posOffset>
                </wp:positionV>
                <wp:extent cx="2713990" cy="1132840"/>
                <wp:effectExtent l="0" t="0" r="0" b="0"/>
                <wp:wrapTight wrapText="bothSides">
                  <wp:wrapPolygon edited="0">
                    <wp:start x="0" y="0"/>
                    <wp:lineTo x="21600" y="0"/>
                    <wp:lineTo x="21600" y="21600"/>
                    <wp:lineTo x="0" y="21600"/>
                    <wp:lineTo x="0" y="0"/>
                  </wp:wrapPolygon>
                </wp:wrapTight>
                <wp:docPr id="1" name="Frame1"/>
                <a:graphic xmlns:a="http://schemas.openxmlformats.org/drawingml/2006/main">
                  <a:graphicData uri="http://schemas.microsoft.com/office/word/2010/wordprocessingShape">
                    <wps:wsp>
                      <wps:cNvSpPr txBox="1"/>
                      <wps:spPr>
                        <a:xfrm>
                          <a:off x="0" y="0"/>
                          <a:ext cx="2713990" cy="1132840"/>
                        </a:xfrm>
                        <a:prstGeom prst="rect"/>
                        <a:solidFill>
                          <a:srgbClr val="FFFFFF"/>
                        </a:solidFill>
                        <a:ln w="9525">
                          <a:solidFill>
                            <a:srgbClr val="000000"/>
                          </a:solidFill>
                        </a:ln>
                      </wps:spPr>
                      <wps:txbx>
                        <w:txbxContent>
                          <w:p>
                            <w:pPr>
                              <w:pStyle w:val="Normal"/>
                              <w:spacing w:lineRule="auto" w:line="240" w:before="120" w:after="120"/>
                              <w:jc w:val="start"/>
                              <w:rPr>
                                <w:rFonts w:ascii="Antique Olv (W1)" w:hAnsi="Antique Olv (W1)" w:cs="Courier New"/>
                                <w:sz w:val="20"/>
                              </w:rPr>
                            </w:pPr>
                            <w:r>
                              <w:rPr>
                                <w:rFonts w:cs="Courier New" w:ascii="Antique Olv (W1)" w:hAnsi="Antique Olv (W1)"/>
                                <w:sz w:val="20"/>
                              </w:rPr>
                              <w:t>In 1988 the company had a "near death" experience following the very difficult 1986-87 period.  Mark Palmer, Managing Director of Corporate Communications,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213.7pt;height:89.2pt;mso-wrap-distance-left:9.05pt;mso-wrap-distance-right:9.05pt;mso-wrap-distance-top:0pt;mso-wrap-distance-bottom:0pt;margin-top:2.45pt;mso-position-vertical-relative:text;margin-left:217.15pt;mso-position-horizontal-relative:text">
                <v:textbox>
                  <w:txbxContent>
                    <w:p>
                      <w:pPr>
                        <w:pStyle w:val="Normal"/>
                        <w:spacing w:lineRule="auto" w:line="240" w:before="120" w:after="120"/>
                        <w:jc w:val="start"/>
                        <w:rPr>
                          <w:rFonts w:ascii="Antique Olv (W1)" w:hAnsi="Antique Olv (W1)" w:cs="Courier New"/>
                          <w:sz w:val="20"/>
                        </w:rPr>
                      </w:pPr>
                      <w:r>
                        <w:rPr>
                          <w:rFonts w:cs="Courier New" w:ascii="Antique Olv (W1)" w:hAnsi="Antique Olv (W1)"/>
                          <w:sz w:val="20"/>
                        </w:rPr>
                        <w:t>In 1988 the company had a "near death" experience following the very difficult 1986-87 period.  Mark Palmer, Managing Director of Corporate Communications, Enron Corporation.</w:t>
                      </w:r>
                    </w:p>
                  </w:txbxContent>
                </v:textbox>
                <w10:wrap type="square"/>
              </v:rect>
            </w:pict>
          </mc:Fallback>
        </mc:AlternateContent>
      </w:r>
    </w:p>
    <w:p>
      <w:pPr>
        <w:pStyle w:val="Normal"/>
        <w:rPr/>
      </w:pPr>
      <w:r>
        <w:rPr/>
        <w:t>The tough experience during these early years provided a sense of genuine urgency that led to the decision to transform the company.  The meeting where the decision to embark on the bold plan to transform the company was made was described later as a "come to Jesus" meeting by President and COO Jeff Skilling (who was a McKinsey consultant at the time).  The principal outcome of that meeting was the decision to form a non-regulated business unit.  The basic business model involved developing a gas bank.</w:t>
      </w:r>
      <w:r>
        <w:rPr>
          <w:rStyle w:val="FootnoteCharacters"/>
          <w:rStyle w:val="FootnoteReference"/>
        </w:rPr>
        <w:footnoteReference w:id="6"/>
      </w:r>
      <w:r>
        <w:rPr/>
        <w:t xml:space="preserve"> </w:t>
      </w:r>
    </w:p>
    <w:p>
      <w:pPr>
        <w:pStyle w:val="Normal"/>
        <w:rPr/>
      </w:pPr>
      <w:r>
        <w:rPr/>
        <w:t>Jeff Skilling developed the concept of a “gas bank” while working as a senior partner with McKinsey &amp; Company in Houston, TX.  The original idea was for Enron to intermediate between buyers and sellers of gas and lock in the spread between the buying and selling price as profit.  The gas producers were “depositors” in this analogy to a commercial bank, and the consumers were the “borrowers”.  Continuing the bank analogy, Enron would pool deposits (supply commitments) that could then be used to fund long-term commitments of 15 years or more.  One aspect of the banking analogy posed a significant problem for Enron.   There was no deposit guarantee system.  This  meant that Enron had to design and implement a very sophisticated asset-liability risk management system to manage its own liquidity.   This, in turn, led to the need for a number of personnel changes that we document later.</w:t>
      </w:r>
    </w:p>
    <w:p>
      <w:pPr>
        <w:pStyle w:val="Normal"/>
        <w:rPr/>
      </w:pPr>
      <w:r>
        <w:rPr/>
        <w:t>The unregulated business proved to be a success from the start.  The initial business consisted of providing long-term fixed price gas, which Enron was able to provide internally from Enron Oil and Gas.  However, Enron quickly moved to combine physical transactions with financial contracts in novel ways.  For example, in 1989 negotiations with a Louisiana aluminum producer broke down when it tried to get fixed-price gas from Enron.</w:t>
      </w:r>
      <w:r>
        <w:rPr>
          <w:rStyle w:val="FootnoteCharacters"/>
          <w:rStyle w:val="FootnoteReference"/>
        </w:rPr>
        <w:footnoteReference w:id="7"/>
      </w:r>
      <w:r>
        <w:rPr/>
        <w:t xml:space="preserve">  The problem was that Enron’s costs to physically transport gas to the customer made the deal unattractive.  Enron devised a solution involving the first natural gas swap agreement.  The agreement called for the customer to buy gas locally, paying a floating price and simultaneously purchased a swap from Enron through which Enron would pay the producer’s floating rates and the producer would pay Enron a fixed rate.  </w:t>
      </w:r>
    </w:p>
    <w:p>
      <w:pPr>
        <w:pStyle w:val="Normal"/>
        <w:rPr/>
      </w:pPr>
      <w:r>
        <w:rPr/>
        <w:t>The demands of the new trading operation required that Enron make dramatic changes in both the organizational structure of the firm and the caliber of its personnel.  The old regulated company had a hierarchical organization consisting of 15 layers of management and it proved incapable of responding to the fast pace of the deregulated gas market. Enron moved to reduce the number of layers of management to only 4 with the result that decision rights were now vested in those employees that were closest to the firm's trading activities.  However, the specialized knowledge required to deal effectively with the new trading environment called for radical improvements in the caliber of people in the organization.  Enron responded by hiring a cadre of gas traders and Wall Street traders.  However, as the trading fiasco that brought down the Barings Bank demonstrated, delegating decision rights to traders without proper controls can be dangerous.  Thus, Enron implemented a risk management system to measure and control the trading positions that its traders were allowed to take and also a new performance evaluation and compensation system.   The new performance evaluation and compensation system was designed to encourage entrepreneurial behavior and risk taking within company prescribed limits.</w:t>
      </w:r>
      <w:r>
        <w:rPr>
          <w:rStyle w:val="FootnoteCharacters"/>
          <w:rStyle w:val="FootnoteReference"/>
        </w:rPr>
        <w:footnoteReference w:id="8"/>
      </w:r>
      <w:r>
        <w:rPr/>
        <w:t xml:space="preserve"> </w:t>
      </w:r>
    </w:p>
    <w:p>
      <w:pPr>
        <w:pStyle w:val="Normal"/>
        <w:rPr/>
      </w:pPr>
      <w:r>
        <w:rPr/>
        <w:t xml:space="preserve">Enron's move from a regulated environment to an unregulated one brought about a dramatic change in the economics of the firm's organizational architecture.  Specifically, in the unregulated environment of the newly reorganized firm, rapid rates of change and the knowledge and skills required for decision-making dictated that decision authority be granted to the individuals with the earliest access to information.  This meant that the new Enron placed a much higher value on decentralization than the old “regulated” and hierarchically structured Enron.  </w:t>
      </w:r>
    </w:p>
    <w:p>
      <w:pPr>
        <w:pStyle w:val="Normal"/>
        <w:rPr/>
      </w:pPr>
      <w:r>
        <w:rPr/>
        <w:t xml:space="preserve">Jensen and Meckling (1995) characterize the economic motivations for delegation in terms of the cost of transferring knowledge.  Where this cost is very high (i.e., in the case of specific knowledge), the optimal organizational architecture will entail delegating decision making rights to the employees who have the appropriate skills and knowledge.  With the decision to delegate, Brickley, Smith, and Zimmerman (1995) point out, the firm must also design a performance evaluation system and a complimentary reward system that supports decentralized decision-making.  In the pages that follow we document how Enron has responded to the challenges of the new organizational architecture.  </w:t>
      </w:r>
    </w:p>
    <w:p>
      <w:pPr>
        <w:pStyle w:val="Heading1"/>
        <w:rPr/>
      </w:pPr>
      <w:bookmarkStart w:id="2" w:name="__RefHeading___Toc504538907"/>
      <w:bookmarkEnd w:id="2"/>
      <w:r>
        <w:rPr/>
        <w:t>The Enron business strategy</w:t>
      </w:r>
      <w:r>
        <mc:AlternateContent>
          <mc:Choice Requires="wps">
            <w:drawing>
              <wp:anchor behindDoc="1" distT="0" distB="0" distL="114935" distR="114935" simplePos="0" locked="0" layoutInCell="0" allowOverlap="1" relativeHeight="7">
                <wp:simplePos x="0" y="0"/>
                <wp:positionH relativeFrom="column">
                  <wp:posOffset>3234055</wp:posOffset>
                </wp:positionH>
                <wp:positionV relativeFrom="paragraph">
                  <wp:posOffset>144145</wp:posOffset>
                </wp:positionV>
                <wp:extent cx="2237740" cy="1170940"/>
                <wp:effectExtent l="0" t="0" r="0" b="0"/>
                <wp:wrapTight wrapText="bothSides">
                  <wp:wrapPolygon edited="0">
                    <wp:start x="0" y="0"/>
                    <wp:lineTo x="21600" y="0"/>
                    <wp:lineTo x="21600" y="21600"/>
                    <wp:lineTo x="0" y="21600"/>
                    <wp:lineTo x="0" y="0"/>
                  </wp:wrapPolygon>
                </wp:wrapTight>
                <wp:docPr id="2" name="Frame2"/>
                <a:graphic xmlns:a="http://schemas.openxmlformats.org/drawingml/2006/main">
                  <a:graphicData uri="http://schemas.microsoft.com/office/word/2010/wordprocessingShape">
                    <wps:wsp>
                      <wps:cNvSpPr txBox="1"/>
                      <wps:spPr>
                        <a:xfrm>
                          <a:off x="0" y="0"/>
                          <a:ext cx="2237740" cy="1170940"/>
                        </a:xfrm>
                        <a:prstGeom prst="rect"/>
                        <a:solidFill>
                          <a:srgbClr val="FFFFFF"/>
                        </a:solidFill>
                        <a:ln w="9525">
                          <a:solidFill>
                            <a:srgbClr val="000000"/>
                          </a:solidFill>
                        </a:ln>
                      </wps:spPr>
                      <wps:txbx>
                        <w:txbxContent>
                          <w:p>
                            <w:pPr>
                              <w:pStyle w:val="Normal"/>
                              <w:spacing w:lineRule="auto" w:line="240" w:before="120" w:after="120"/>
                              <w:rPr>
                                <w:rFonts w:ascii="Antique Olv (W1)" w:hAnsi="Antique Olv (W1)" w:cs="Antique Olv (W1)"/>
                                <w:sz w:val="20"/>
                              </w:rPr>
                            </w:pPr>
                            <w:r>
                              <w:rPr>
                                <w:rFonts w:cs="Antique Olv (W1)" w:ascii="Antique Olv (W1)" w:hAnsi="Antique Olv (W1)"/>
                                <w:sz w:val="20"/>
                              </w:rPr>
                              <w:t>I have a strong belief in markets.  In fact, I think that an imperfect market is preferable to a perfect regulator.  Ken Lay, CEO,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176.2pt;height:92.2pt;mso-wrap-distance-left:9.05pt;mso-wrap-distance-right:9.05pt;mso-wrap-distance-top:0pt;mso-wrap-distance-bottom:0pt;margin-top:11.35pt;mso-position-vertical-relative:text;margin-left:254.65pt;mso-position-horizontal-relative:text">
                <v:textbox>
                  <w:txbxContent>
                    <w:p>
                      <w:pPr>
                        <w:pStyle w:val="Normal"/>
                        <w:spacing w:lineRule="auto" w:line="240" w:before="120" w:after="120"/>
                        <w:rPr>
                          <w:rFonts w:ascii="Antique Olv (W1)" w:hAnsi="Antique Olv (W1)" w:cs="Antique Olv (W1)"/>
                          <w:sz w:val="20"/>
                        </w:rPr>
                      </w:pPr>
                      <w:r>
                        <w:rPr>
                          <w:rFonts w:cs="Antique Olv (W1)" w:ascii="Antique Olv (W1)" w:hAnsi="Antique Olv (W1)"/>
                          <w:sz w:val="20"/>
                        </w:rPr>
                        <w:t>I have a strong belief in markets.  In fact, I think that an imperfect market is preferable to a perfect regulator.  Ken Lay, CEO, Enron Corporation</w:t>
                      </w:r>
                    </w:p>
                  </w:txbxContent>
                </v:textbox>
                <w10:wrap type="square"/>
              </v:rect>
            </w:pict>
          </mc:Fallback>
        </mc:AlternateContent>
      </w:r>
    </w:p>
    <w:p>
      <w:pPr>
        <w:pStyle w:val="Normal"/>
        <w:rPr/>
      </w:pPr>
      <w:r>
        <w:rPr/>
        <w:t xml:space="preserve">Basically the market is Enron's business model.  The firm manages an internal market for labor and capital that attempt to emulate the allocations that would occur in an external market.  These internal markets are managed in the context of an organizational environment that President Jeff Skilling calls "loose-tight".  He describes only two things at Enron that are not subject to negotiation.  The first relates to the firm's personnel evaluation policy whereby every employee is evaluated twice annually.  The second is the firm's company wide risk management program that is used to capture the risk implications of every commitment made by Enron.  </w:t>
      </w:r>
    </w:p>
    <w:p>
      <w:pPr>
        <w:pStyle w:val="Normal"/>
        <w:rPr/>
      </w:pPr>
      <w:r>
        <w:rPr>
          <w:lang w:val="en-CA" w:eastAsia="en-CA"/>
        </w:rPr>
        <w:t>Enron does not have a</w:t>
      </w:r>
      <w:r>
        <w:rPr/>
        <w:t xml:space="preserve"> formal strategic planning committee.  Instead, as CEO Ken Lay describes it:  "Ideas flow up from within the firm and it is top management's responsibility to make sure that the money and resources of the corporation flow to the projects that attract our people."  This system of capital allocation works because personnel are allowed to move freely from one business unit to another within Enron so long as they can convince the new unit to hire them.  In this way human resources are continually reallocated to where the employees perceive the opportunities are the greatest.  Enron's top management then allocates financial capital in accordance with human capital flows.  The idea is that the rank and file employees vote with their feet when they move from one unit to another and their choices provide a reliable signal of the value of the investment prospect.  In essence the firm's rank and file employees are granted a degree of decision authority over how the company allocates its capital.  To the extent that the employees possess special knowledge of the company's prospects that would be very difficult (expensive) to transfer to the firm's top management, this capital allocation practice is consistent with Jensen and Meckling's (1995) notion of organizational architecture whereby decision rights are delegated to employees closest to the problem where specialized knowledge is required to make optimal choices and that knowledge is expensive to transfer up the firm's chain of command.  </w:t>
      </w:r>
      <w:r>
        <mc:AlternateContent>
          <mc:Choice Requires="wps">
            <w:drawing>
              <wp:anchor behindDoc="1" distT="0" distB="0" distL="114935" distR="114935" simplePos="0" locked="0" layoutInCell="0" allowOverlap="1" relativeHeight="6">
                <wp:simplePos x="0" y="0"/>
                <wp:positionH relativeFrom="column">
                  <wp:posOffset>3091180</wp:posOffset>
                </wp:positionH>
                <wp:positionV relativeFrom="paragraph">
                  <wp:posOffset>10795</wp:posOffset>
                </wp:positionV>
                <wp:extent cx="2361565" cy="1304290"/>
                <wp:effectExtent l="0" t="0" r="0" b="0"/>
                <wp:wrapTight wrapText="bothSides">
                  <wp:wrapPolygon edited="0">
                    <wp:start x="0" y="0"/>
                    <wp:lineTo x="21600" y="0"/>
                    <wp:lineTo x="21600" y="21600"/>
                    <wp:lineTo x="0" y="21600"/>
                    <wp:lineTo x="0" y="0"/>
                  </wp:wrapPolygon>
                </wp:wrapTight>
                <wp:docPr id="3" name="Frame3"/>
                <a:graphic xmlns:a="http://schemas.openxmlformats.org/drawingml/2006/main">
                  <a:graphicData uri="http://schemas.microsoft.com/office/word/2010/wordprocessingShape">
                    <wps:wsp>
                      <wps:cNvSpPr txBox="1"/>
                      <wps:spPr>
                        <a:xfrm>
                          <a:off x="0" y="0"/>
                          <a:ext cx="2361565" cy="1304290"/>
                        </a:xfrm>
                        <a:prstGeom prst="rect"/>
                        <a:solidFill>
                          <a:srgbClr val="FFFFFF"/>
                        </a:solidFill>
                        <a:ln w="9525">
                          <a:solidFill>
                            <a:srgbClr val="000000"/>
                          </a:solidFill>
                        </a:ln>
                      </wps:spPr>
                      <wps:txbx>
                        <w:txbxContent>
                          <w:p>
                            <w:pPr>
                              <w:pStyle w:val="Normal"/>
                              <w:spacing w:lineRule="auto" w:line="240" w:before="120" w:after="120"/>
                              <w:rPr>
                                <w:rFonts w:ascii="Antique Olv (W1)" w:hAnsi="Antique Olv (W1)" w:cs="Antique Olv (W1)"/>
                                <w:sz w:val="20"/>
                              </w:rPr>
                            </w:pPr>
                            <w:r>
                              <w:rPr>
                                <w:rFonts w:cs="Antique Olv (W1)" w:ascii="Antique Olv (W1)" w:hAnsi="Antique Olv (W1)"/>
                                <w:sz w:val="20"/>
                              </w:rPr>
                              <w:t xml:space="preserve">At first strategy was top down and now it's bottom up.  In the early days I was trying to make things happen, today I try to keep things from happening.  Jeff Skilling, President and COO, Enron Corporation </w:t>
                            </w:r>
                          </w:p>
                        </w:txbxContent>
                      </wps:txbx>
                      <wps:bodyPr anchor="t" lIns="91440" tIns="45720" rIns="91440" bIns="45720">
                        <a:noAutofit/>
                      </wps:bodyPr>
                    </wps:wsp>
                  </a:graphicData>
                </a:graphic>
              </wp:anchor>
            </w:drawing>
          </mc:Choice>
          <mc:Fallback>
            <w:pict>
              <v:rect fillcolor="#FFFFFF" strokecolor="#000000" strokeweight="0pt" style="position:absolute;rotation:-0;width:185.95pt;height:102.7pt;mso-wrap-distance-left:9.05pt;mso-wrap-distance-right:9.05pt;mso-wrap-distance-top:0pt;mso-wrap-distance-bottom:0pt;margin-top:0.85pt;mso-position-vertical-relative:text;margin-left:243.4pt;mso-position-horizontal-relative:text">
                <v:textbox>
                  <w:txbxContent>
                    <w:p>
                      <w:pPr>
                        <w:pStyle w:val="Normal"/>
                        <w:spacing w:lineRule="auto" w:line="240" w:before="120" w:after="120"/>
                        <w:rPr>
                          <w:rFonts w:ascii="Antique Olv (W1)" w:hAnsi="Antique Olv (W1)" w:cs="Antique Olv (W1)"/>
                          <w:sz w:val="20"/>
                        </w:rPr>
                      </w:pPr>
                      <w:r>
                        <w:rPr>
                          <w:rFonts w:cs="Antique Olv (W1)" w:ascii="Antique Olv (W1)" w:hAnsi="Antique Olv (W1)"/>
                          <w:sz w:val="20"/>
                        </w:rPr>
                        <w:t xml:space="preserve">At first strategy was top down and now it's bottom up.  In the early days I was trying to make things happen, today I try to keep things from happening.  Jeff Skilling, President and COO, Enron Corporation </w:t>
                      </w:r>
                    </w:p>
                  </w:txbxContent>
                </v:textbox>
                <w10:wrap type="square"/>
              </v:rect>
            </w:pict>
          </mc:Fallback>
        </mc:AlternateContent>
      </w:r>
    </w:p>
    <w:p>
      <w:pPr>
        <w:pStyle w:val="Heading2"/>
        <w:rPr/>
      </w:pPr>
      <w:bookmarkStart w:id="3" w:name="__RefHeading___Toc504538908"/>
      <w:r>
        <w:rPr/>
        <w:t>Personnel policies</w:t>
      </w:r>
      <w:bookmarkEnd w:id="3"/>
      <w:r>
        <w:rPr/>
        <w:t xml:space="preserve"> </w:t>
      </w:r>
      <w:r>
        <mc:AlternateContent>
          <mc:Choice Requires="wps">
            <w:drawing>
              <wp:anchor behindDoc="1" distT="0" distB="0" distL="114935" distR="114935" simplePos="0" locked="0" layoutInCell="0" allowOverlap="1" relativeHeight="5">
                <wp:simplePos x="0" y="0"/>
                <wp:positionH relativeFrom="column">
                  <wp:posOffset>2938780</wp:posOffset>
                </wp:positionH>
                <wp:positionV relativeFrom="paragraph">
                  <wp:posOffset>325120</wp:posOffset>
                </wp:positionV>
                <wp:extent cx="2504440" cy="618490"/>
                <wp:effectExtent l="0" t="0" r="0" b="0"/>
                <wp:wrapTight wrapText="bothSides">
                  <wp:wrapPolygon edited="0">
                    <wp:start x="0" y="0"/>
                    <wp:lineTo x="21600" y="0"/>
                    <wp:lineTo x="21600" y="21600"/>
                    <wp:lineTo x="0" y="21600"/>
                    <wp:lineTo x="0" y="0"/>
                  </wp:wrapPolygon>
                </wp:wrapTight>
                <wp:docPr id="4" name="Frame4"/>
                <a:graphic xmlns:a="http://schemas.openxmlformats.org/drawingml/2006/main">
                  <a:graphicData uri="http://schemas.microsoft.com/office/word/2010/wordprocessingShape">
                    <wps:wsp>
                      <wps:cNvSpPr txBox="1"/>
                      <wps:spPr>
                        <a:xfrm>
                          <a:off x="0" y="0"/>
                          <a:ext cx="2504440" cy="618490"/>
                        </a:xfrm>
                        <a:prstGeom prst="rect"/>
                        <a:solidFill>
                          <a:srgbClr val="FFFFFF"/>
                        </a:solidFill>
                        <a:ln w="9525">
                          <a:solidFill>
                            <a:srgbClr val="000000"/>
                          </a:solidFill>
                        </a:ln>
                      </wps:spPr>
                      <wps:txbx>
                        <w:txbxContent>
                          <w:p>
                            <w:pPr>
                              <w:pStyle w:val="Normal"/>
                              <w:spacing w:lineRule="auto" w:line="240" w:before="120" w:after="120"/>
                              <w:rPr>
                                <w:rFonts w:ascii="Antique Olv (W1)" w:hAnsi="Antique Olv (W1)" w:cs="Antique Olv (W1)"/>
                                <w:sz w:val="20"/>
                              </w:rPr>
                            </w:pPr>
                            <w:r>
                              <w:rPr>
                                <w:rFonts w:cs="Antique Olv (W1)" w:ascii="Antique Olv (W1)" w:hAnsi="Antique Olv (W1)"/>
                                <w:sz w:val="20"/>
                              </w:rPr>
                              <w:t>The key to our success is our people.  Key Lay, CEO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197.2pt;height:48.7pt;mso-wrap-distance-left:9.05pt;mso-wrap-distance-right:9.05pt;mso-wrap-distance-top:0pt;mso-wrap-distance-bottom:0pt;margin-top:25.6pt;mso-position-vertical-relative:text;margin-left:231.4pt;mso-position-horizontal-relative:text">
                <v:textbox>
                  <w:txbxContent>
                    <w:p>
                      <w:pPr>
                        <w:pStyle w:val="Normal"/>
                        <w:spacing w:lineRule="auto" w:line="240" w:before="120" w:after="120"/>
                        <w:rPr>
                          <w:rFonts w:ascii="Antique Olv (W1)" w:hAnsi="Antique Olv (W1)" w:cs="Antique Olv (W1)"/>
                          <w:sz w:val="20"/>
                        </w:rPr>
                      </w:pPr>
                      <w:r>
                        <w:rPr>
                          <w:rFonts w:cs="Antique Olv (W1)" w:ascii="Antique Olv (W1)" w:hAnsi="Antique Olv (W1)"/>
                          <w:sz w:val="20"/>
                        </w:rPr>
                        <w:t>The key to our success is our people.  Key Lay, CEO Enron Corporation.</w:t>
                      </w:r>
                    </w:p>
                  </w:txbxContent>
                </v:textbox>
                <w10:wrap type="square"/>
              </v:rect>
            </w:pict>
          </mc:Fallback>
        </mc:AlternateContent>
      </w:r>
    </w:p>
    <w:p>
      <w:pPr>
        <w:pStyle w:val="Normal"/>
        <w:rPr/>
      </w:pPr>
      <w:r>
        <w:rPr/>
        <w:t>As we noted earlier, Enron had to make a major change in its personnel policies in response to the demands of its deregulated business.  The changes have evolved over time and had their origin in the early nineties in the Capital and Trade group.  Since that time they have spread throughout the corporation and are designed to support five key goals:  Attracting talent, maintaining a culture that supports innovation and provides unlimited opportunity, providing employee services that help the firm retain its talent, supporting a true meritocracy through the use of semi-annual performance reviews that are tightly linked to compensation, and maintaining an open market for talent that facilitates the formation of new businesses within Enron.</w:t>
      </w:r>
    </w:p>
    <w:p>
      <w:pPr>
        <w:pStyle w:val="Normal"/>
        <w:rPr/>
      </w:pPr>
      <w:r>
        <w:rPr/>
        <w:t>The primary monitoring mechanism for employees at Enron is the performance review that occurs bi-annually and is closely linked with the firm's compensation policies.  The process begins with the selection of reviewers that the employee's supervisor must approve.  Once the individual reviews have been completed they are passed on to a performance review committee (PRC) that ranks all employees at each managerial level (i.e., analyst, associate, managing director, vice-president, etc.) from highest to lowest.</w:t>
      </w:r>
      <w:r>
        <w:rPr>
          <w:rStyle w:val="FootnoteCharacters"/>
          <w:rStyle w:val="FootnoteReference"/>
        </w:rPr>
        <w:footnoteReference w:id="9"/>
      </w:r>
      <w:r>
        <w:rPr/>
        <w:t xml:space="preserve">   The ranked employees are then sorted into one of six performance categories.  These categories consist of superior, excellent, strong, satisfactory, needs improvement and issues.</w:t>
      </w:r>
      <w:r>
        <w:rPr>
          <w:rStyle w:val="FootnoteCharacters"/>
          <w:rStyle w:val="FootnoteReference"/>
        </w:rPr>
        <w:footnoteReference w:id="10"/>
      </w:r>
      <w:r>
        <w:rPr/>
        <w:t xml:space="preserve">  Although the final distribution is not fixed in advance, the company does have a preferred distribution of employees across the categories that includes 5% in the superior category, 30% excellent, 20% strong, and 15% in the two remaining categories. </w:t>
      </w:r>
    </w:p>
    <w:p>
      <w:pPr>
        <w:pStyle w:val="Normal"/>
        <w:rPr/>
      </w:pPr>
      <w:r>
        <w:rPr/>
        <w:t xml:space="preserve">Finally, compensation standards are set for each of these six categories.  The range of compensation Enron pays out to the various groups tends to be very steep by industry standards.  For example, at the vice president level the difference in the compensation paid to a satisfactory performer and a superior performer could be as much as a factor of 5 times.  </w:t>
      </w:r>
      <w:r>
        <mc:AlternateContent>
          <mc:Choice Requires="wps">
            <w:drawing>
              <wp:anchor behindDoc="1" distT="0" distB="0" distL="114935" distR="114935" simplePos="0" locked="0" layoutInCell="0" allowOverlap="1" relativeHeight="8">
                <wp:simplePos x="0" y="0"/>
                <wp:positionH relativeFrom="column">
                  <wp:posOffset>2995930</wp:posOffset>
                </wp:positionH>
                <wp:positionV relativeFrom="paragraph">
                  <wp:posOffset>83185</wp:posOffset>
                </wp:positionV>
                <wp:extent cx="2485390" cy="1380490"/>
                <wp:effectExtent l="0" t="0" r="0" b="0"/>
                <wp:wrapTight wrapText="bothSides">
                  <wp:wrapPolygon edited="0">
                    <wp:start x="0" y="0"/>
                    <wp:lineTo x="21600" y="0"/>
                    <wp:lineTo x="21600" y="21600"/>
                    <wp:lineTo x="0" y="21600"/>
                    <wp:lineTo x="0" y="0"/>
                  </wp:wrapPolygon>
                </wp:wrapTight>
                <wp:docPr id="5" name="Frame5"/>
                <a:graphic xmlns:a="http://schemas.openxmlformats.org/drawingml/2006/main">
                  <a:graphicData uri="http://schemas.microsoft.com/office/word/2010/wordprocessingShape">
                    <wps:wsp>
                      <wps:cNvSpPr txBox="1"/>
                      <wps:spPr>
                        <a:xfrm>
                          <a:off x="0" y="0"/>
                          <a:ext cx="2485390" cy="1380490"/>
                        </a:xfrm>
                        <a:prstGeom prst="rect"/>
                        <a:solidFill>
                          <a:srgbClr val="FFFFFF"/>
                        </a:solidFill>
                        <a:ln w="9525">
                          <a:solidFill>
                            <a:srgbClr val="000000"/>
                          </a:solidFill>
                        </a:ln>
                      </wps:spPr>
                      <wps:txbx>
                        <w:txbxContent>
                          <w:p>
                            <w:pPr>
                              <w:pStyle w:val="Normal"/>
                              <w:spacing w:lineRule="auto" w:line="240" w:before="120" w:after="120"/>
                              <w:jc w:val="start"/>
                              <w:rPr/>
                            </w:pPr>
                            <w:r>
                              <w:rPr>
                                <w:rFonts w:cs="Antique Olive" w:ascii="Antique Olive" w:hAnsi="Antique Olive"/>
                                <w:sz w:val="20"/>
                              </w:rPr>
                              <w:t>What we shoot for is to pay strong to excellent performers in the 50-75</w:t>
                            </w:r>
                            <w:r>
                              <w:rPr>
                                <w:rFonts w:cs="Antique Olive" w:ascii="Antique Olive" w:hAnsi="Antique Olive"/>
                                <w:sz w:val="20"/>
                                <w:vertAlign w:val="superscript"/>
                              </w:rPr>
                              <w:t>th</w:t>
                            </w:r>
                            <w:r>
                              <w:rPr>
                                <w:rFonts w:cs="Antique Olive" w:ascii="Antique Olive" w:hAnsi="Antique Olive"/>
                                <w:sz w:val="20"/>
                              </w:rPr>
                              <w:t xml:space="preserve"> percentile while we pay the top performers in the 90-100+ percentile.  Cindy Olsen, Executive Vice President of Human Resources and Community Relations,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195.7pt;height:108.7pt;mso-wrap-distance-left:9.05pt;mso-wrap-distance-right:9.05pt;mso-wrap-distance-top:0pt;mso-wrap-distance-bottom:0pt;margin-top:6.55pt;mso-position-vertical-relative:text;margin-left:235.9pt;mso-position-horizontal-relative:text">
                <v:textbox>
                  <w:txbxContent>
                    <w:p>
                      <w:pPr>
                        <w:pStyle w:val="Normal"/>
                        <w:spacing w:lineRule="auto" w:line="240" w:before="120" w:after="120"/>
                        <w:jc w:val="start"/>
                        <w:rPr/>
                      </w:pPr>
                      <w:r>
                        <w:rPr>
                          <w:rFonts w:cs="Antique Olive" w:ascii="Antique Olive" w:hAnsi="Antique Olive"/>
                          <w:sz w:val="20"/>
                        </w:rPr>
                        <w:t>What we shoot for is to pay strong to excellent performers in the 50-75</w:t>
                      </w:r>
                      <w:r>
                        <w:rPr>
                          <w:rFonts w:cs="Antique Olive" w:ascii="Antique Olive" w:hAnsi="Antique Olive"/>
                          <w:sz w:val="20"/>
                          <w:vertAlign w:val="superscript"/>
                        </w:rPr>
                        <w:t>th</w:t>
                      </w:r>
                      <w:r>
                        <w:rPr>
                          <w:rFonts w:cs="Antique Olive" w:ascii="Antique Olive" w:hAnsi="Antique Olive"/>
                          <w:sz w:val="20"/>
                        </w:rPr>
                        <w:t xml:space="preserve"> percentile while we pay the top performers in the 90-100+ percentile.  Cindy Olsen, Executive Vice President of Human Resources and Community Relations, Enron Corporation</w:t>
                      </w:r>
                    </w:p>
                  </w:txbxContent>
                </v:textbox>
                <w10:wrap type="square"/>
              </v:rect>
            </w:pict>
          </mc:Fallback>
        </mc:AlternateContent>
      </w:r>
    </w:p>
    <w:p>
      <w:pPr>
        <w:pStyle w:val="Normal"/>
        <w:rPr/>
      </w:pPr>
      <w:r>
        <w:rPr/>
        <w:t xml:space="preserve">The primary benefit of this very rigorous performance evaluation process is the identification of the best performers in the corporation.  This identification process then facilitates the resource allocation process into new businesses, as the leaders of those efforts are quickly able to identify the quality of the talent available to them for recruiting.  </w:t>
      </w:r>
    </w:p>
    <w:p>
      <w:pPr>
        <w:pStyle w:val="Heading2"/>
        <w:rPr/>
      </w:pPr>
      <w:bookmarkStart w:id="4" w:name="__RefHeading___Toc504538909"/>
      <w:bookmarkEnd w:id="4"/>
      <w:r>
        <w:rPr/>
        <w:t>Corporate Risk Management</w:t>
      </w:r>
      <w:r>
        <mc:AlternateContent>
          <mc:Choice Requires="wps">
            <w:drawing>
              <wp:anchor behindDoc="1" distT="0" distB="0" distL="114935" distR="114935" simplePos="0" locked="0" layoutInCell="0" allowOverlap="1" relativeHeight="4">
                <wp:simplePos x="0" y="0"/>
                <wp:positionH relativeFrom="column">
                  <wp:posOffset>2995930</wp:posOffset>
                </wp:positionH>
                <wp:positionV relativeFrom="paragraph">
                  <wp:posOffset>27940</wp:posOffset>
                </wp:positionV>
                <wp:extent cx="2447290" cy="1247140"/>
                <wp:effectExtent l="0" t="0" r="0" b="0"/>
                <wp:wrapTight wrapText="bothSides">
                  <wp:wrapPolygon edited="0">
                    <wp:start x="0" y="0"/>
                    <wp:lineTo x="21600" y="0"/>
                    <wp:lineTo x="21600" y="21600"/>
                    <wp:lineTo x="0" y="21600"/>
                    <wp:lineTo x="0" y="0"/>
                  </wp:wrapPolygon>
                </wp:wrapTight>
                <wp:docPr id="6" name="Frame6"/>
                <a:graphic xmlns:a="http://schemas.openxmlformats.org/drawingml/2006/main">
                  <a:graphicData uri="http://schemas.microsoft.com/office/word/2010/wordprocessingShape">
                    <wps:wsp>
                      <wps:cNvSpPr txBox="1"/>
                      <wps:spPr>
                        <a:xfrm>
                          <a:off x="0" y="0"/>
                          <a:ext cx="2447290" cy="1247140"/>
                        </a:xfrm>
                        <a:prstGeom prst="rect"/>
                        <a:solidFill>
                          <a:srgbClr val="FFFFFF"/>
                        </a:solidFill>
                        <a:ln w="9525">
                          <a:solidFill>
                            <a:srgbClr val="000000"/>
                          </a:solidFill>
                        </a:ln>
                      </wps:spPr>
                      <wps:txbx>
                        <w:txbxContent>
                          <w:p>
                            <w:pPr>
                              <w:pStyle w:val="Normal"/>
                              <w:spacing w:lineRule="auto" w:line="240" w:before="120" w:after="120"/>
                              <w:rPr>
                                <w:rFonts w:ascii="Antique Olv (W1)" w:hAnsi="Antique Olv (W1)" w:cs="Antique Olv (W1)"/>
                                <w:sz w:val="20"/>
                              </w:rPr>
                            </w:pPr>
                            <w:r>
                              <w:rPr>
                                <w:rFonts w:cs="Antique Olv (W1)" w:ascii="Antique Olv (W1)" w:hAnsi="Antique Olv (W1)"/>
                                <w:sz w:val="20"/>
                              </w:rPr>
                              <w:t>If you ask an outsider what industry Enron is in they will say energy.  If you ask an insider they will tell you that we are in the risk management business.  We provide certainty of delivery and certainty of price.  Andy Fastow, CFO,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192.7pt;height:98.2pt;mso-wrap-distance-left:9.05pt;mso-wrap-distance-right:9.05pt;mso-wrap-distance-top:0pt;mso-wrap-distance-bottom:0pt;margin-top:2.2pt;mso-position-vertical-relative:text;margin-left:235.9pt;mso-position-horizontal-relative:text">
                <v:textbox>
                  <w:txbxContent>
                    <w:p>
                      <w:pPr>
                        <w:pStyle w:val="Normal"/>
                        <w:spacing w:lineRule="auto" w:line="240" w:before="120" w:after="120"/>
                        <w:rPr>
                          <w:rFonts w:ascii="Antique Olv (W1)" w:hAnsi="Antique Olv (W1)" w:cs="Antique Olv (W1)"/>
                          <w:sz w:val="20"/>
                        </w:rPr>
                      </w:pPr>
                      <w:r>
                        <w:rPr>
                          <w:rFonts w:cs="Antique Olv (W1)" w:ascii="Antique Olv (W1)" w:hAnsi="Antique Olv (W1)"/>
                          <w:sz w:val="20"/>
                        </w:rPr>
                        <w:t>If you ask an outsider what industry Enron is in they will say energy.  If you ask an insider they will tell you that we are in the risk management business.  We provide certainty of delivery and certainty of price.  Andy Fastow, CFO, Enron Corporation.</w:t>
                      </w:r>
                    </w:p>
                  </w:txbxContent>
                </v:textbox>
                <w10:wrap type="square"/>
              </v:rect>
            </w:pict>
          </mc:Fallback>
        </mc:AlternateContent>
      </w:r>
    </w:p>
    <w:p>
      <w:pPr>
        <w:pStyle w:val="Normal"/>
        <w:rPr/>
      </w:pPr>
      <w:r>
        <w:rPr>
          <w:szCs w:val="20"/>
        </w:rPr>
        <w:t xml:space="preserve">Enron has developed a highly innovative and comprehensive approach to risk management. </w:t>
      </w:r>
      <w:r>
        <w:rPr/>
        <w:t xml:space="preserve">In fact, CFO Andy Fastow describes Enron's primary business as risk management.  </w:t>
      </w:r>
    </w:p>
    <w:p>
      <w:pPr>
        <w:pStyle w:val="Normal"/>
        <w:rPr>
          <w:szCs w:val="20"/>
        </w:rPr>
      </w:pPr>
      <w:r>
        <w:rPr>
          <w:szCs w:val="20"/>
        </w:rPr>
        <w:t xml:space="preserve">To put Enron's risk management practices in perspective it is helpful to take a look at the evolution of the tools used for this purpose in financial institutions.  Historically, the first approach to risk management involved setting position limits expressed in terms of notional amounts a trading desk could hold at any point in time.  The overall position limits for any institution were arrived at using experience, intuition and estimates of potential losses. The next step in the evolution of risk management techniques was the introduction of sensitivities of the values of different financial instruments to a unit move in the price level of the underlying financial instruments (for example, one basis point movement in interest rates, or one dollar move in the price of crude oil). The disadvantage of this approach is that it ignores the fact that the price curves seldom evolve through parallel shifts.  The next step was to replace the sensitivity approach with an estimate of value-at-risk at an instrument level. This approach recognizes that price and interest rate curves may evolve over time in a more complicated way than upward and downward parallel shifts. The most recent step has been the implementation of value-at-risk at the portfolio level.  This approach takes into account relationships between different markets and measures the probability of a loss of a defined magnitude over a certain time period. </w:t>
      </w:r>
    </w:p>
    <w:p>
      <w:pPr>
        <w:pStyle w:val="Normal"/>
        <w:rPr>
          <w:szCs w:val="20"/>
        </w:rPr>
      </w:pPr>
      <w:r>
        <w:rPr>
          <w:szCs w:val="20"/>
        </w:rPr>
        <w:t>Enron uses a combination of these tools in managing their risk exposure.  The main highlights of the firm's risk management system are as follows:</w:t>
      </w:r>
    </w:p>
    <w:p>
      <w:pPr>
        <w:pStyle w:val="Normal"/>
        <w:numPr>
          <w:ilvl w:val="0"/>
          <w:numId w:val="3"/>
        </w:numPr>
        <w:ind w:hanging="720" w:start="720" w:end="0"/>
        <w:rPr>
          <w:szCs w:val="20"/>
        </w:rPr>
      </w:pPr>
      <w:r>
        <w:rPr>
          <w:szCs w:val="20"/>
        </w:rPr>
        <w:t>Enron has an enterprise risk management strategy that is under the direction of the chief risk officer (CRO) who reports directly to the firm's CEO and board.  The CRO provides a systematic oversight of all corporate risks.  For example, in 1999 this involved transactions with roughly 8,000 counter parties involving some $20 billion in revenues, a staff of 150 risk management professionals, and a budget of more than $30 million.</w:t>
      </w:r>
      <w:r>
        <w:rPr>
          <w:rStyle w:val="FootnoteCharacters"/>
          <w:rStyle w:val="FootnoteReference"/>
          <w:szCs w:val="20"/>
        </w:rPr>
        <w:footnoteReference w:id="11"/>
      </w:r>
      <w:r>
        <w:rPr>
          <w:szCs w:val="20"/>
        </w:rPr>
        <w:t xml:space="preserve">  </w:t>
      </w:r>
    </w:p>
    <w:p>
      <w:pPr>
        <w:pStyle w:val="Normal"/>
        <w:numPr>
          <w:ilvl w:val="0"/>
          <w:numId w:val="3"/>
        </w:numPr>
        <w:ind w:hanging="720" w:start="720" w:end="0"/>
        <w:rPr>
          <w:szCs w:val="20"/>
        </w:rPr>
      </w:pPr>
      <w:r>
        <w:rPr/>
        <w:t>The company has access to its own unique source of price information for each commodity in which it makes a market.  Every day each commodity's trading desk posts a single forward price curve.  For commodities such as natural gas that have a very liquid market, the forward curve is taken directly from market prices.  In less liquid markets, however, the traders must make their own assessment of the forward curve.  The important points to note here are that all traders use a single forward curve, and the assessment of forward prices is made by traders who are closest to the market.  Finally, the RCO is responsible for validating the trader's forward curves.  This involves seeking outside verification for forward price estimates whenever possible and challenging the assumptions of the traders who construct these estimates.  This provides a source of discipline to the traders who post prices.</w:t>
      </w:r>
    </w:p>
    <w:p>
      <w:pPr>
        <w:pStyle w:val="Normal"/>
        <w:numPr>
          <w:ilvl w:val="0"/>
          <w:numId w:val="3"/>
        </w:numPr>
        <w:ind w:hanging="720" w:start="720" w:end="0"/>
        <w:rPr>
          <w:szCs w:val="20"/>
        </w:rPr>
      </w:pPr>
      <w:r>
        <w:rPr>
          <w:szCs w:val="20"/>
        </w:rPr>
        <w:t xml:space="preserve">For risk management purposes transactions made by different units of the firm are classified and sorted into so-called books, i.e. portfolios of contracts that represent similar risks.  For example, a transaction based on price of natural gas at San Juan Permian Basin would be broken into a price transaction corresponding to the NYMEX/OTC central market, and a basis component which corresponds to the difference between a location specific price and the NYMEX reference price. Both parts of the transaction will be recorded and hedged in separate books that are managed by different traders.  This means that </w:t>
      </w:r>
      <w:r>
        <w:rPr/>
        <w:t xml:space="preserve">management of the firm’s risk exposure is assigned to the firm’s traders who, because of their specialized knowledge of market conditions, are most competent to perform the task.  </w:t>
      </w:r>
    </w:p>
    <w:p>
      <w:pPr>
        <w:pStyle w:val="Normal"/>
        <w:numPr>
          <w:ilvl w:val="0"/>
          <w:numId w:val="3"/>
        </w:numPr>
        <w:ind w:hanging="720" w:start="720" w:end="0"/>
        <w:rPr>
          <w:szCs w:val="20"/>
        </w:rPr>
      </w:pPr>
      <w:r>
        <w:rPr>
          <w:szCs w:val="20"/>
        </w:rPr>
        <w:t xml:space="preserve">The books are re-priced each night and used to produce reports showing the firm's positions in the morning. Consequently, all transactions with non-affiliates are marked-to-market on a daily basis. This means that all the fluctuations in market prices are reflected </w:t>
      </w:r>
      <w:r>
        <w:rPr>
          <w:i/>
          <w:iCs/>
          <w:szCs w:val="20"/>
        </w:rPr>
        <w:t>immediately</w:t>
      </w:r>
      <w:r>
        <w:rPr>
          <w:szCs w:val="20"/>
        </w:rPr>
        <w:t xml:space="preserve"> in the value of the books and that the changes in the value of the all the portfolios flow through earnings. </w:t>
      </w:r>
    </w:p>
    <w:p>
      <w:pPr>
        <w:pStyle w:val="Normal"/>
        <w:numPr>
          <w:ilvl w:val="0"/>
          <w:numId w:val="3"/>
        </w:numPr>
        <w:ind w:hanging="720" w:start="720" w:end="0"/>
        <w:rPr>
          <w:szCs w:val="20"/>
        </w:rPr>
      </w:pPr>
      <w:r>
        <w:rPr/>
        <w:t>Enron has developed quantitative models to assess the price and credit risk of its positions.  To evaluate price risk Enron pioneered the use of Value at Risk (VAR) models in 1992 long before these models attracted widespread use.  Specifically, the firm uses VAR measures that assume a one-day holding period and a 95% confidence level.</w:t>
      </w:r>
      <w:r>
        <w:rPr>
          <w:rStyle w:val="FootnoteCharacters"/>
          <w:rStyle w:val="FootnoteReference"/>
        </w:rPr>
        <w:footnoteReference w:id="12"/>
      </w:r>
      <w:r>
        <w:rPr>
          <w:rFonts w:cs="Courier New" w:ascii="Courier New" w:hAnsi="Courier New"/>
        </w:rPr>
        <w:t xml:space="preserve">  </w:t>
      </w:r>
      <w:r>
        <w:rPr/>
        <w:t>In addition to market or price risk Enron is exposed to the potential credit risk of its more than 8,000 counter-parties.  Thus, the company has developed a set predictive models designed for use in assessing the future credit risk exposure of the company.</w:t>
      </w:r>
      <w:r>
        <w:rPr>
          <w:rStyle w:val="FootnoteCharacters"/>
          <w:rStyle w:val="FootnoteReference"/>
        </w:rPr>
        <w:footnoteReference w:id="13"/>
      </w:r>
      <w:r>
        <w:rPr/>
        <w:t xml:space="preserve">  </w:t>
      </w:r>
    </w:p>
    <w:p>
      <w:pPr>
        <w:pStyle w:val="Normal"/>
        <w:numPr>
          <w:ilvl w:val="0"/>
          <w:numId w:val="3"/>
        </w:numPr>
        <w:ind w:hanging="720" w:start="720" w:end="0"/>
        <w:rPr/>
      </w:pPr>
      <w:r>
        <w:rPr>
          <w:szCs w:val="20"/>
        </w:rPr>
        <w:t xml:space="preserve">The ERO does not make bets on the direction of the market prices. The objective of trading is to hedge deals originated by other units of the company or to offer derivative instruments (swaps, options, forward transactions) that are immediately hedged. Trading is done within a framework of strict guidelines that are summarized in the company's trading policy. </w:t>
      </w:r>
    </w:p>
    <w:p>
      <w:pPr>
        <w:pStyle w:val="Heading2"/>
        <w:rPr/>
      </w:pPr>
      <w:bookmarkStart w:id="5" w:name="__RefHeading___Toc504538910"/>
      <w:bookmarkEnd w:id="5"/>
      <w:r>
        <w:rPr/>
        <w:t>Financial Reporting</w:t>
      </w:r>
    </w:p>
    <w:p>
      <w:pPr>
        <w:pStyle w:val="Normal"/>
        <w:rPr/>
      </w:pPr>
      <w:r>
        <w:rPr/>
        <w:t xml:space="preserve">Enron uses mark-to-market accounting to report the results of its trading activities.  This means that it “books” a portion of the net present value of each hedged transaction at the time the contracts are initiated.  This mark-to-market accounting practice is used by banks but few industrial concerns.  In very simple terms, this is how it works.  Enron contracts to deliver gas at $2.00/MMBtu for which it was paying $1.80/MMBtu.  The present value of the $0.20/MMBtu difference (net of transportation costs and reserves set aside to protect against changes in the market value of Enron’s position) would be recognized as revenue in the year in which the contract is signed.  The remainder of the margin (the loss reserve) less physical delivery costs is recorded over the life of the contract if nothing changes.  Correspondingly these commitments to buy and sell gas give rise to assets and liabilities.  Note that where the portfolio of assets and obligations is balanced with identical purchase and sale volume commitments, changes in the price of gas do not have an impact on the income statement.  </w:t>
      </w:r>
    </w:p>
    <w:p>
      <w:pPr>
        <w:pStyle w:val="Normal"/>
        <w:rPr/>
      </w:pPr>
      <w:r>
        <w:rPr/>
        <w:t xml:space="preserve">The use of mark-to-market accounting means that day-to-day fluctuations in the value of the firm’s operations are immediately transparent.  Under a traditional historical-cost accounting system changes in the market values of the firm’s assets and liabilities becomes apparent only when a purchase or sale occurs which may take months or even years.  Thus, mistakes and poor fortune can be hidden from view for extended periods of time simply through inaction on the part of the firm’s management.  Such is not the case, however, with mark-to-market accounting.   </w:t>
      </w:r>
    </w:p>
    <w:p>
      <w:pPr>
        <w:pStyle w:val="Heading2"/>
        <w:rPr/>
      </w:pPr>
      <w:bookmarkStart w:id="6" w:name="__RefHeading___Toc504538911"/>
      <w:bookmarkEnd w:id="6"/>
      <w:r>
        <w:rPr/>
        <w:t>Other features of the Enron business model</w:t>
      </w:r>
    </w:p>
    <w:p>
      <w:pPr>
        <w:pStyle w:val="Heading3"/>
        <w:ind w:hanging="0" w:start="0"/>
        <w:rPr/>
      </w:pPr>
      <w:bookmarkStart w:id="7" w:name="__RefHeading___Toc504538912"/>
      <w:bookmarkEnd w:id="7"/>
      <w:r>
        <w:rPr/>
        <w:t>Combining Physical Assets and Financial Instruments</w:t>
      </w:r>
    </w:p>
    <w:p>
      <w:pPr>
        <w:pStyle w:val="Normal"/>
        <w:rPr/>
      </w:pPr>
      <w:r>
        <w:rPr/>
        <w:t>By creating derivative contracts on energy commodities Enron facilitates the transformation of cash flow streams from physical assets.  For example, consider the problem faced by a power producer that operates a single burner power plant but wants to create a dual burner capacity power plant so that it can choose the cheaper of two fuel alternatives (for example, natural gas and residual fuel oil).  One way to accomplish this objective is to acquire the ability to use different fuels through investment in the necessary fixed assets.  Alternatively, the owner of a single burner plant can use a financial solution that relies on the use of energy derivatives to transform the cash flows of a single burner plant into a synthetic dual burner capacity power plant.  Here's how it works.  The producer purchases an option to buy one fuel, paying the price of another.  This avoids investing in real assets and the necessity of developing business relationships and training internal staff to physically handle multiple fuels.  The availability of the financial solution means that the investor can now compare the cost of upgrading the physical facility and incurring larger internal purchasing, handling and transaction costs with the costs of implementing the financial solution.  Long-run market equilibrium in an efficient market will drive the costs of these two alternatives together.  However, under normal market conditions, frictions and rigidities may make one alternative cheaper than the other for an extended period of time.</w:t>
      </w:r>
      <w:r>
        <w:rPr>
          <w:rStyle w:val="FootnoteCharacters"/>
          <w:rStyle w:val="FootnoteReference"/>
        </w:rPr>
        <w:footnoteReference w:id="14"/>
      </w:r>
    </w:p>
    <w:p>
      <w:pPr>
        <w:pStyle w:val="Heading3"/>
        <w:ind w:hanging="0" w:start="0"/>
        <w:rPr/>
      </w:pPr>
      <w:bookmarkStart w:id="8" w:name="__RefHeading___Toc504538913"/>
      <w:bookmarkEnd w:id="8"/>
      <w:r>
        <w:rPr/>
        <w:t>Capitalizing on Opportunities in Deregulating Markets</w:t>
      </w:r>
    </w:p>
    <w:p>
      <w:pPr>
        <w:pStyle w:val="Normal"/>
        <w:rPr/>
      </w:pPr>
      <w:r>
        <w:rPr/>
        <w:t>Beginning in the nineties Enron's stated philosophy has been to capitalize on opportunities arising out of newly deregulated markets.  In the words of President and COO Jeff Skilling, "get in early, push to open markets, position ourselves to compete, and compete hard when the opening comes."  Enron has successfully applied this model to a number of markets including oil, gas, and wholesale electric power; but has been less successful in consumer electric power and water.  An example of this strategy is the recent formation of Enron Communications, Inc. (a wholly owned subsidiary of Enron Corporation and a leader in the delivery of high-bandwidth application services).  In a company press release Skilling described the launch of the new business as follows:</w:t>
      </w:r>
    </w:p>
    <w:p>
      <w:pPr>
        <w:pStyle w:val="Normal"/>
        <w:spacing w:lineRule="auto" w:line="240"/>
        <w:rPr>
          <w:sz w:val="20"/>
        </w:rPr>
      </w:pPr>
      <w:r>
        <w:rPr>
          <w:sz w:val="20"/>
        </w:rPr>
        <w:t>"This is 'Day One' of a potentially enormous market.  Most companies that need bandwidth today are only able to secure inflexible, multi-year deals for pre-set amounts of capacity – just like oil contracts in the 1970s, natural gas contracts prior to 1990 and electric power contracts prior to 1994.  As was the case in those industries, the market structure for bandwidth is currently inefficient and expensive.  We are demonstrating that bandwidth can be traded under flexible market-based contract structures with the assurance that quality standards are in place and monitored real-time by the buyer and seller."  (Enron press release—December 2, 1999)</w:t>
      </w:r>
    </w:p>
    <w:p>
      <w:pPr>
        <w:pStyle w:val="Heading3"/>
        <w:ind w:hanging="0" w:start="0"/>
        <w:rPr/>
      </w:pPr>
      <w:bookmarkStart w:id="9" w:name="__RefHeading___Toc504538914"/>
      <w:bookmarkEnd w:id="9"/>
      <w:r>
        <w:rPr/>
        <w:t>Focusing on Asset Optionality</w:t>
      </w:r>
    </w:p>
    <w:p>
      <w:pPr>
        <w:pStyle w:val="Normal"/>
        <w:rPr/>
      </w:pPr>
      <w:r>
        <w:rPr/>
        <w:t>Enron's business model differs in a very critical way from other energy companies who traditionally invest heavily in fixed assets.  Enron instead focuses on leveraging its investment in human capital.  This is reflected in the firm's strategic acquisition of assets that offer significant optionality.  For example, the typical electrical utility builds and operates large electric power plants that require huge capital investments and that earn modest returns.  Enron, however, recognized that in a world in which electric markets are being deregulated and price swings are increasing, there is value to owning smaller "peak-load plants" that could be switched on and off as the price of power fluctuates.  In June of 1999 the company opened three gas-fired power plants in northern Mississippi and western Tennessee.  These plants were less expensive to construct than conventional power plants but generate electricity at an incremental cost that is 50-70% higher than that of the most efficient plants.  However when the cost per kilowatt-hour jumps from $40 to $7,000 as it did on June 25, 1999 in parts of the Midwest, even very inefficient plants can be profitable.  Furthermore, to ensure the economic operation of these plants they are controlled directly from the electric power trading floor.  In essence the peaking plants represent a set of call options on electric power that can be exercised whenever the value of the electricity they produce exceeds the cost of producing it and the start-up costs of initiating production.  For this type of plant the increased volatility in power prices that accompanied deregulation actually adds value.</w:t>
      </w:r>
      <w:r>
        <w:rPr>
          <w:rStyle w:val="FootnoteCharacters"/>
          <w:rStyle w:val="FootnoteReference"/>
        </w:rPr>
        <w:footnoteReference w:id="15"/>
      </w:r>
      <w:r>
        <w:rPr/>
        <w:t xml:space="preserve">  </w:t>
      </w:r>
    </w:p>
    <w:p>
      <w:pPr>
        <w:pStyle w:val="Heading3"/>
        <w:ind w:hanging="0" w:start="0"/>
        <w:rPr/>
      </w:pPr>
      <w:bookmarkStart w:id="10" w:name="__RefHeading___Toc504538915"/>
      <w:bookmarkEnd w:id="10"/>
      <w:r>
        <w:rPr/>
        <w:t>Organizing Around a Network Strategy</w:t>
      </w:r>
    </w:p>
    <w:p>
      <w:pPr>
        <w:pStyle w:val="BodyText"/>
        <w:tabs>
          <w:tab w:val="clear" w:pos="720"/>
          <w:tab w:val="left" w:pos="540" w:leader="none"/>
        </w:tabs>
        <w:spacing w:before="120" w:after="0"/>
        <w:ind w:hanging="0" w:end="0"/>
        <w:rPr/>
      </w:pPr>
      <w:r>
        <w:rPr/>
        <w:t xml:space="preserve">Another key feature of Enron's business strategy involves the explicit recognition of the value of a network strategy.  Enron’s wholesale business (Enron Wholesale) provides an example of how this network strategy works.  Enron builds its wholesale businesses through the creation of networks involving asset ownership, contractual access to third-party assets and market-making activities.  Each market in which Enron Wholesale operates utilizes these components in a slightly different manner and is at a different stage of development.  This network strategy has enabled Enron Wholesale to establish a leading position in its markets without making the huge investments required for physical ownership of many of these assets.  </w:t>
      </w:r>
    </w:p>
    <w:p>
      <w:pPr>
        <w:pStyle w:val="Heading1"/>
        <w:rPr/>
      </w:pPr>
      <w:bookmarkStart w:id="11" w:name="__RefHeading___Toc504538916"/>
      <w:bookmarkEnd w:id="11"/>
      <w:r>
        <w:rPr/>
        <w:t>Conclusion:  Lessons Learned</w:t>
      </w:r>
      <w:r>
        <mc:AlternateContent>
          <mc:Choice Requires="wps">
            <w:drawing>
              <wp:anchor behindDoc="1" distT="0" distB="0" distL="114935" distR="114935" simplePos="0" locked="0" layoutInCell="0" allowOverlap="1" relativeHeight="3">
                <wp:simplePos x="0" y="0"/>
                <wp:positionH relativeFrom="column">
                  <wp:posOffset>3186430</wp:posOffset>
                </wp:positionH>
                <wp:positionV relativeFrom="paragraph">
                  <wp:posOffset>202565</wp:posOffset>
                </wp:positionV>
                <wp:extent cx="2266315" cy="1104265"/>
                <wp:effectExtent l="0" t="0" r="0" b="0"/>
                <wp:wrapTight wrapText="bothSides">
                  <wp:wrapPolygon edited="0">
                    <wp:start x="0" y="0"/>
                    <wp:lineTo x="21600" y="0"/>
                    <wp:lineTo x="21600" y="21600"/>
                    <wp:lineTo x="0" y="21600"/>
                    <wp:lineTo x="0" y="0"/>
                  </wp:wrapPolygon>
                </wp:wrapTight>
                <wp:docPr id="7" name="Frame7"/>
                <a:graphic xmlns:a="http://schemas.openxmlformats.org/drawingml/2006/main">
                  <a:graphicData uri="http://schemas.microsoft.com/office/word/2010/wordprocessingShape">
                    <wps:wsp>
                      <wps:cNvSpPr txBox="1"/>
                      <wps:spPr>
                        <a:xfrm>
                          <a:off x="0" y="0"/>
                          <a:ext cx="2266315" cy="1104265"/>
                        </a:xfrm>
                        <a:prstGeom prst="rect"/>
                        <a:solidFill>
                          <a:srgbClr val="FFFFFF"/>
                        </a:solidFill>
                        <a:ln w="9525">
                          <a:solidFill>
                            <a:srgbClr val="000000"/>
                          </a:solidFill>
                        </a:ln>
                      </wps:spPr>
                      <wps:txbx>
                        <w:txbxContent>
                          <w:p>
                            <w:pPr>
                              <w:pStyle w:val="Normal"/>
                              <w:spacing w:lineRule="auto" w:line="240" w:before="120" w:after="120"/>
                              <w:rPr>
                                <w:rFonts w:ascii="Antique Olv (W1)" w:hAnsi="Antique Olv (W1)" w:cs="Antique Olv (W1)"/>
                                <w:sz w:val="20"/>
                              </w:rPr>
                            </w:pPr>
                            <w:r>
                              <w:rPr>
                                <w:rFonts w:cs="Antique Olv (W1)" w:ascii="Antique Olv (W1)" w:hAnsi="Antique Olv (W1)"/>
                                <w:sz w:val="20"/>
                              </w:rPr>
                              <w:t>Yes, the Enron model can be replicated, but to do so requires that you be willing to change the entire culture of the company.  Ken Lay, CEO,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178.45pt;height:86.95pt;mso-wrap-distance-left:9.05pt;mso-wrap-distance-right:9.05pt;mso-wrap-distance-top:0pt;mso-wrap-distance-bottom:0pt;margin-top:15.95pt;mso-position-vertical-relative:text;margin-left:250.9pt;mso-position-horizontal-relative:text">
                <v:textbox>
                  <w:txbxContent>
                    <w:p>
                      <w:pPr>
                        <w:pStyle w:val="Normal"/>
                        <w:spacing w:lineRule="auto" w:line="240" w:before="120" w:after="120"/>
                        <w:rPr>
                          <w:rFonts w:ascii="Antique Olv (W1)" w:hAnsi="Antique Olv (W1)" w:cs="Antique Olv (W1)"/>
                          <w:sz w:val="20"/>
                        </w:rPr>
                      </w:pPr>
                      <w:r>
                        <w:rPr>
                          <w:rFonts w:cs="Antique Olv (W1)" w:ascii="Antique Olv (W1)" w:hAnsi="Antique Olv (W1)"/>
                          <w:sz w:val="20"/>
                        </w:rPr>
                        <w:t>Yes, the Enron model can be replicated, but to do so requires that you be willing to change the entire culture of the company.  Ken Lay, CEO, Enron Corporation.</w:t>
                      </w:r>
                    </w:p>
                  </w:txbxContent>
                </v:textbox>
                <w10:wrap type="square"/>
              </v:rect>
            </w:pict>
          </mc:Fallback>
        </mc:AlternateContent>
      </w:r>
    </w:p>
    <w:p>
      <w:pPr>
        <w:pStyle w:val="Normal"/>
        <w:rPr/>
      </w:pPr>
      <w:r>
        <w:rPr/>
        <w:t xml:space="preserve">This paper documents the Enron story spanning the firm's modern day transformation from regulated gas pipeline company into the world's leading power marketer.  The genius of the transformation is evident in the firm's recognition that the demands of the new unregulated environment radically changed the demands placed on both the organization and its personnel.  Both these areas were effectively dealt with in the transformation of the firm and the results are history.  </w:t>
      </w:r>
    </w:p>
    <w:p>
      <w:pPr>
        <w:pStyle w:val="Normal"/>
        <w:rPr/>
      </w:pPr>
      <w:r>
        <w:rPr/>
        <w:t xml:space="preserve">The organizational architecture that worked for Enron when it was a regulated gas pipeline company was not appropriate for the new unregulated power trading company.  The new environment was characterized by rapid change in operating conditions that demanded that decision makers possess highly specialized knowledge in order to respond effectively.  Recognizing this Enron moved quickly to hire, and delegate decision rights to, a much better caliber of employees who could deal effectively with the demands of the trading environment.  However, delegating decision rights to competent employees is not enough.  Since these decision makers do not bear the full consequences of their decisions they may take on more or less risk than the shareholders might wish.  One has only to recall the results of Barings Bank's rogue trader to be reminded of the dangers of delegation without adequate oversight.  In fact Enron had a similar but less dramatic experience in 1986.  To address the potential dangers of decentralized decision-making, Enron built an elaborate system of risk management controls for their traders.   However, the objective of risk management is not to eliminate risk but to control it.  This meant that Enron had to design a reward system that would encourage the type of innovative and entrepreneurial decisions that would succeed in the new trading environment.        </w:t>
      </w:r>
    </w:p>
    <w:p>
      <w:pPr>
        <w:pStyle w:val="Normal"/>
        <w:rPr/>
      </w:pPr>
      <w:r>
        <w:rPr/>
        <w:t>What can be learned from the Enron experience that might be applied elsewhere?  Jeff Skilling believes that there is indeed much that can be learned from the Enron transformation and, given the right circumstances; others might also be able to follow their example.  Specifically, Skilling advises the following:</w:t>
      </w:r>
    </w:p>
    <w:p>
      <w:pPr>
        <w:pStyle w:val="Normal"/>
        <w:numPr>
          <w:ilvl w:val="0"/>
          <w:numId w:val="2"/>
        </w:numPr>
        <w:rPr/>
      </w:pPr>
      <w:r>
        <w:rPr/>
        <w:t>First, there must be a real sense of urgency to stimulate genuine change in the organization.</w:t>
      </w:r>
    </w:p>
    <w:p>
      <w:pPr>
        <w:pStyle w:val="Normal"/>
        <w:numPr>
          <w:ilvl w:val="0"/>
          <w:numId w:val="2"/>
        </w:numPr>
        <w:rPr/>
      </w:pPr>
      <w:r>
        <w:rPr/>
        <w:t>Second, there must be an absolute commitment to change such that there is no going back.  Many firms have attempted radical change only to turn back when the difficulty of the transition became obvious.</w:t>
      </w:r>
    </w:p>
    <w:p>
      <w:pPr>
        <w:pStyle w:val="Normal"/>
        <w:numPr>
          <w:ilvl w:val="0"/>
          <w:numId w:val="2"/>
        </w:numPr>
        <w:rPr/>
      </w:pPr>
      <w:r>
        <w:rPr/>
        <w:t>Third, you must create an organizational architecture that unleashes the talent in the organization.  This means that you must fundamentally change the reporting and compensation system so as to allow people to take advantage of their own ideas.</w:t>
      </w:r>
    </w:p>
    <w:p>
      <w:pPr>
        <w:pStyle w:val="Normal"/>
        <w:numPr>
          <w:ilvl w:val="0"/>
          <w:numId w:val="2"/>
        </w:numPr>
        <w:rPr/>
      </w:pPr>
      <w:r>
        <w:rPr/>
        <w:t>Finally, it is absolutely crucial that you commit to a program of continuous recruiting of new talent into the organization.  The principal attributes of new hires should be a combination of intelligence and flexiblility.</w:t>
      </w:r>
    </w:p>
    <w:p>
      <w:pPr>
        <w:pStyle w:val="Normal"/>
        <w:rPr/>
      </w:pPr>
      <w:r>
        <w:rPr/>
      </w:r>
      <w:r>
        <w:br w:type="page"/>
      </w:r>
    </w:p>
    <w:p>
      <w:pPr>
        <w:pStyle w:val="Heading1"/>
        <w:rPr/>
      </w:pPr>
      <w:bookmarkStart w:id="12" w:name="__RefHeading___Toc504538917"/>
      <w:bookmarkEnd w:id="12"/>
      <w:r>
        <w:rPr/>
        <w:t>References</w:t>
      </w:r>
    </w:p>
    <w:p>
      <w:pPr>
        <w:pStyle w:val="Normal"/>
        <w:spacing w:lineRule="auto" w:line="240"/>
        <w:rPr/>
      </w:pPr>
      <w:r>
        <w:rPr/>
        <w:t>Sanjay Bhatnagar and Peter Tufano, 1995, Enron Gas Services, 9-294-076, Harvard Business School Publishing, Boston, MA.</w:t>
      </w:r>
    </w:p>
    <w:p>
      <w:pPr>
        <w:pStyle w:val="Normal"/>
        <w:spacing w:lineRule="auto" w:line="240"/>
        <w:rPr/>
      </w:pPr>
      <w:r>
        <w:rPr/>
        <w:t xml:space="preserve">James Brickley, Clifford Smith, and Jerold Zimmerman, 1995, The economics of organizational architecture, </w:t>
      </w:r>
      <w:r>
        <w:rPr>
          <w:u w:val="single"/>
        </w:rPr>
        <w:t>Journal of Applied Corporate Finance</w:t>
      </w:r>
      <w:r>
        <w:rPr/>
        <w:t xml:space="preserve"> 8, Number 2 (Summer), 19-31.</w:t>
      </w:r>
    </w:p>
    <w:p>
      <w:pPr>
        <w:pStyle w:val="Normal"/>
        <w:spacing w:lineRule="auto" w:line="240"/>
        <w:rPr/>
      </w:pPr>
      <w:r>
        <w:rPr/>
        <w:t xml:space="preserve">Richard Buy, Vince Kaminski, Krishnarao Pinnamaneni and Visant Shanbhogue, 1998, Actively managing corporate credit risk:  New methodologies and instruments for non-financial firms, </w:t>
      </w:r>
      <w:r>
        <w:rPr>
          <w:u w:val="single"/>
        </w:rPr>
        <w:t>Credit Derivatives</w:t>
      </w:r>
      <w:r>
        <w:rPr/>
        <w:t>.</w:t>
      </w:r>
    </w:p>
    <w:p>
      <w:pPr>
        <w:pStyle w:val="Normal"/>
        <w:spacing w:lineRule="auto" w:line="240"/>
        <w:rPr/>
      </w:pPr>
      <w:r>
        <w:rPr/>
        <w:t xml:space="preserve">Peter Coy, 1999, Exploiting uncertainty:  The "real-options" revolution in decision-making, </w:t>
      </w:r>
      <w:r>
        <w:rPr>
          <w:u w:val="single"/>
        </w:rPr>
        <w:t>BusinessWeek</w:t>
      </w:r>
      <w:r>
        <w:rPr/>
        <w:t xml:space="preserve"> (June 7).</w:t>
      </w:r>
    </w:p>
    <w:p>
      <w:pPr>
        <w:pStyle w:val="Normal"/>
        <w:spacing w:lineRule="auto" w:line="240"/>
        <w:rPr/>
      </w:pPr>
      <w:r>
        <w:rPr/>
        <w:t xml:space="preserve">Michael C. Jensen and William H. Meckling, 1995, Specific and general knowledge, and organizational structure, </w:t>
      </w:r>
      <w:r>
        <w:rPr>
          <w:u w:val="single"/>
        </w:rPr>
        <w:t>Journal of Applied Corporate Finance</w:t>
      </w:r>
      <w:r>
        <w:rPr/>
        <w:t xml:space="preserve"> 8, Number 2 (Summer), 4-18.</w:t>
      </w:r>
    </w:p>
    <w:p>
      <w:pPr>
        <w:pStyle w:val="Normal"/>
        <w:spacing w:lineRule="auto" w:line="240"/>
        <w:rPr/>
      </w:pPr>
      <w:r>
        <w:rPr/>
        <w:t xml:space="preserve">Vince Kaminski, 1997, The challenge of pricing and risk managing electricity derivatives, </w:t>
      </w:r>
      <w:r>
        <w:rPr>
          <w:u w:val="single"/>
        </w:rPr>
        <w:t>The US Power Market</w:t>
      </w:r>
      <w:r>
        <w:rPr/>
        <w:t>.</w:t>
      </w:r>
    </w:p>
    <w:p>
      <w:pPr>
        <w:pStyle w:val="Normal"/>
        <w:spacing w:lineRule="auto" w:line="240"/>
        <w:rPr/>
      </w:pPr>
      <w:r>
        <w:rPr/>
        <w:t xml:space="preserve">Vince Kaminski and Stinson Gibner, 1997, Exotic Options, </w:t>
      </w:r>
      <w:r>
        <w:rPr>
          <w:u w:val="single"/>
        </w:rPr>
        <w:t>Managing Energy Price Risk</w:t>
      </w:r>
      <w:r>
        <w:rPr/>
        <w:t>.</w:t>
      </w:r>
    </w:p>
    <w:p>
      <w:pPr>
        <w:pStyle w:val="Normal"/>
        <w:spacing w:lineRule="auto" w:line="240"/>
        <w:rPr/>
      </w:pPr>
      <w:r>
        <w:rPr/>
        <w:t>Stephen Lynagh and Sanjiv R. Das, 1997, Enron Corp.—Credit sensitive notes, 9-297-099, Harvard Business School Publishing, Boston, MA.</w:t>
      </w:r>
    </w:p>
    <w:p>
      <w:pPr>
        <w:pStyle w:val="Normal"/>
        <w:spacing w:lineRule="auto" w:line="240"/>
        <w:rPr/>
      </w:pPr>
      <w:r>
        <w:rPr/>
        <w:t xml:space="preserve">Rene M. Stulz, 1996, Rethinking risk management, </w:t>
      </w:r>
      <w:r>
        <w:rPr>
          <w:u w:val="single"/>
        </w:rPr>
        <w:t>Journal of Applied Corporate Finance</w:t>
      </w:r>
      <w:r>
        <w:rPr/>
        <w:t xml:space="preserve"> (Fall), 8-24.</w:t>
      </w:r>
    </w:p>
    <w:p>
      <w:pPr>
        <w:pStyle w:val="Normal"/>
        <w:spacing w:lineRule="auto" w:line="240"/>
        <w:rPr/>
      </w:pPr>
      <w:r>
        <w:rPr/>
        <w:t xml:space="preserve">Karen Hopper Wruck, 1994, Financial policy, internal control, and performance:  Sealed Air Corporation’s leveraged special dividend,” </w:t>
      </w:r>
      <w:r>
        <w:rPr>
          <w:i/>
        </w:rPr>
        <w:t>Journal of Financial Economics</w:t>
      </w:r>
      <w:r>
        <w:rPr/>
        <w:t>, vol. 36, 157-192.</w:t>
      </w:r>
      <w:r>
        <w:br w:type="page"/>
      </w:r>
    </w:p>
    <w:p>
      <w:pPr>
        <w:pStyle w:val="Heading1"/>
        <w:spacing w:lineRule="auto" w:line="240"/>
        <w:rPr/>
      </w:pPr>
      <w:bookmarkStart w:id="13" w:name="__RefHeading___Toc504538918"/>
      <w:bookmarkEnd w:id="13"/>
      <w:r>
        <w:rPr/>
        <w:t>Appendix A—Enron Rating Descriptions</w:t>
      </w:r>
    </w:p>
    <w:tbl>
      <w:tblPr>
        <w:tblW w:w="8856" w:type="dxa"/>
        <w:jc w:val="start"/>
        <w:tblInd w:w="0" w:type="dxa"/>
        <w:tblLayout w:type="fixed"/>
        <w:tblCellMar>
          <w:top w:w="0" w:type="dxa"/>
          <w:start w:w="108" w:type="dxa"/>
          <w:bottom w:w="0" w:type="dxa"/>
          <w:end w:w="108" w:type="dxa"/>
        </w:tblCellMar>
      </w:tblPr>
      <w:tblGrid>
        <w:gridCol w:w="2358"/>
        <w:gridCol w:w="6498"/>
      </w:tblGrid>
      <w:tr>
        <w:trPr/>
        <w:tc>
          <w:tcPr>
            <w:tcW w:w="235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jc w:val="center"/>
              <w:rPr>
                <w:b/>
                <w:bCs w:val="false"/>
              </w:rPr>
            </w:pPr>
            <w:r>
              <w:rPr>
                <w:b/>
                <w:bCs w:val="false"/>
              </w:rPr>
              <w:t>Performance Rating</w:t>
            </w:r>
          </w:p>
        </w:tc>
        <w:tc>
          <w:tcPr>
            <w:tcW w:w="649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jc w:val="center"/>
              <w:rPr>
                <w:b/>
                <w:bCs w:val="false"/>
              </w:rPr>
            </w:pPr>
            <w:r>
              <w:rPr>
                <w:b/>
                <w:bCs w:val="false"/>
              </w:rPr>
              <w:t>Description</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Superior</w:t>
            </w:r>
          </w:p>
        </w:tc>
        <w:tc>
          <w:tcPr>
            <w:tcW w:w="649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Consistently goes above and beyond expectations.  Role model for criteria.  Very little need for growth and change at current level</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Excellent</w:t>
            </w:r>
          </w:p>
        </w:tc>
        <w:tc>
          <w:tcPr>
            <w:tcW w:w="649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Exceeds most expectations.  Role model for most criteria.  Further development needs are minimal.</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Strong</w:t>
            </w:r>
          </w:p>
        </w:tc>
        <w:tc>
          <w:tcPr>
            <w:tcW w:w="649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Meets most and exceeds some expectations.  Role model for some criteria.  Further development needed in some areas.</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Satisfactory</w:t>
            </w:r>
          </w:p>
        </w:tc>
        <w:tc>
          <w:tcPr>
            <w:tcW w:w="649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Meets many but not all expectations.  Demonstrates most of the criteria.  Further development needs in many areas.</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Needs Improvement</w:t>
            </w:r>
          </w:p>
        </w:tc>
        <w:tc>
          <w:tcPr>
            <w:tcW w:w="649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Does not meet most expectations.  Demonstrates some of the criteria.  Further development necessary in most areas.</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Issues</w:t>
            </w:r>
          </w:p>
        </w:tc>
        <w:tc>
          <w:tcPr>
            <w:tcW w:w="649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Has significant performance issues.  Does not demonstrate most of the criteria.  Must make changes or termination likely.</w:t>
            </w:r>
          </w:p>
        </w:tc>
      </w:tr>
    </w:tbl>
    <w:p>
      <w:pPr>
        <w:pStyle w:val="Normal"/>
        <w:spacing w:lineRule="auto" w:line="240" w:before="120" w:after="120"/>
        <w:rPr/>
      </w:pPr>
      <w:r>
        <w:rPr/>
      </w:r>
    </w:p>
    <w:sectPr>
      <w:footerReference w:type="default" r:id="rId3"/>
      <w:footerReference w:type="first" r:id="rId4"/>
      <w:footnotePr>
        <w:numFmt w:val="decimal"/>
      </w:footnotePr>
      <w:type w:val="nextPage"/>
      <w:pgSz w:w="12240" w:h="15840"/>
      <w:pgMar w:left="1800" w:right="180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Antique Olv (W1)">
    <w:charset w:val="00" w:characterSet="windows-1252"/>
    <w:family w:val="swiss"/>
    <w:pitch w:val="variable"/>
  </w:font>
  <w:font w:name="Antique Olive">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120"/>
      <w:rPr/>
    </w:pPr>
    <w:r>
      <w:rPr>
        <w:sz w:val="20"/>
      </w:rPr>
      <w:t>Confidential</w:t>
      <w:tab/>
      <w:tab/>
    </w: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120"/>
      <w:rPr/>
    </w:pPr>
    <w:r>
      <w:rPr>
        <w:sz w:val="20"/>
      </w:rPr>
      <w:t>Confidential</w:t>
      <w:tab/>
      <w:t xml:space="preserve">Page </w:t>
    </w:r>
    <w:r>
      <w:rPr>
        <w:sz w:val="20"/>
      </w:rPr>
      <w:fldChar w:fldCharType="begin"/>
    </w:r>
    <w:r>
      <w:rPr>
        <w:sz w:val="20"/>
      </w:rPr>
      <w:instrText xml:space="preserve"> PAGE </w:instrText>
    </w:r>
    <w:r>
      <w:rPr>
        <w:sz w:val="20"/>
      </w:rPr>
      <w:fldChar w:fldCharType="separate"/>
    </w:r>
    <w:r>
      <w:rPr>
        <w:sz w:val="20"/>
      </w:rPr>
      <w:t>20</w:t>
    </w:r>
    <w:r>
      <w:rPr>
        <w:sz w:val="20"/>
      </w:rPr>
      <w:fldChar w:fldCharType="end"/>
    </w:r>
    <w:r>
      <w:rPr>
        <w:sz w:val="20"/>
      </w:rPr>
      <w:tab/>
    </w: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auto" w:line="240" w:before="120" w:after="120"/>
        <w:rPr/>
      </w:pPr>
      <w:r>
        <w:rPr>
          <w:rStyle w:val="FootnoteCharacters"/>
        </w:rPr>
        <w:t>*</w:t>
      </w:r>
      <w:r>
        <w:rPr/>
        <w:t xml:space="preserve"> </w:t>
      </w:r>
      <w:r>
        <w:rPr/>
        <w:t xml:space="preserve">This article is based on personal interviews with Ken Lay (CEO), Jeff Skilling (President and COO), Andy Fastow (CFO), Cindy Olsen (Director of Human Relations), and Mark Palmer (VP for Public Relations) of the Enron Corporation.   </w:t>
      </w:r>
    </w:p>
  </w:footnote>
  <w:footnote w:id="3">
    <w:p>
      <w:pPr>
        <w:pStyle w:val="FootnoteText"/>
        <w:spacing w:lineRule="auto" w:line="240" w:before="120" w:after="120"/>
        <w:rPr/>
      </w:pPr>
      <w:r>
        <w:rPr>
          <w:rStyle w:val="FootnoteCharacters"/>
        </w:rPr>
        <w:footnoteRef/>
      </w:r>
      <w:r>
        <w:rPr/>
        <w:t xml:space="preserve"> </w:t>
      </w:r>
      <w:r>
        <w:rPr/>
        <w:t>See Wruck (1994) for a detailed discussion of the Sealed Air recapitalization story.</w:t>
      </w:r>
    </w:p>
  </w:footnote>
  <w:footnote w:id="4">
    <w:p>
      <w:pPr>
        <w:pStyle w:val="FootnoteText"/>
        <w:spacing w:lineRule="auto" w:line="240" w:before="120" w:after="120"/>
        <w:rPr/>
      </w:pPr>
      <w:r>
        <w:rPr>
          <w:rStyle w:val="FootnoteCharacters"/>
        </w:rPr>
        <w:footnoteRef/>
      </w:r>
      <w:r>
        <w:rPr/>
        <w:t xml:space="preserve"> </w:t>
      </w:r>
      <w:r>
        <w:rPr/>
        <w:t>Our interviews were completed on December 4, 2000.  On December 13, 2000 Enron announced that Jeff Skilling would succeed Ken Lay as CEO.</w:t>
      </w:r>
    </w:p>
  </w:footnote>
  <w:footnote w:id="5">
    <w:p>
      <w:pPr>
        <w:pStyle w:val="FootnoteText"/>
        <w:spacing w:lineRule="auto" w:line="240" w:before="120" w:after="120"/>
        <w:rPr/>
      </w:pPr>
      <w:r>
        <w:rPr>
          <w:rStyle w:val="FootnoteCharacters"/>
        </w:rPr>
        <w:footnoteRef/>
      </w:r>
      <w:r>
        <w:rPr/>
        <w:t xml:space="preserve"> </w:t>
      </w:r>
      <w:r>
        <w:rPr/>
        <w:t xml:space="preserve">Mark Palmer (Managing Director of Corporate Communications) stated that during 1986 Enron suffered the nationalization of a pipeline in Peru as well as substantial losses resulting from the actions of a gas trader. </w:t>
      </w:r>
    </w:p>
  </w:footnote>
  <w:footnote w:id="6">
    <w:p>
      <w:pPr>
        <w:pStyle w:val="FootnoteText"/>
        <w:spacing w:lineRule="auto" w:line="240" w:before="120" w:after="120"/>
        <w:rPr/>
      </w:pPr>
      <w:r>
        <w:rPr>
          <w:rStyle w:val="FootnoteCharacters"/>
        </w:rPr>
        <w:footnoteRef/>
      </w:r>
      <w:r>
        <w:rPr/>
        <w:t xml:space="preserve"> </w:t>
      </w:r>
      <w:r>
        <w:rPr/>
        <w:t>For added details see Sanjay Bhatnagar and Peter Tufano, Enron Gas Services, Harvard Business School Case #9-294-076, (September 26, 1995).</w:t>
      </w:r>
    </w:p>
  </w:footnote>
  <w:footnote w:id="7">
    <w:p>
      <w:pPr>
        <w:pStyle w:val="FootnoteText"/>
        <w:spacing w:lineRule="auto" w:line="240" w:before="120" w:after="120"/>
        <w:rPr/>
      </w:pPr>
      <w:r>
        <w:rPr>
          <w:rStyle w:val="FootnoteCharacters"/>
        </w:rPr>
        <w:footnoteRef/>
      </w:r>
      <w:r>
        <w:rPr/>
        <w:t xml:space="preserve"> </w:t>
      </w:r>
      <w:r>
        <w:rPr/>
        <w:t>See Bhatnagar and Tufano (1995, p. 4-6) for details.</w:t>
      </w:r>
    </w:p>
  </w:footnote>
  <w:footnote w:id="8">
    <w:p>
      <w:pPr>
        <w:pStyle w:val="FootnoteText"/>
        <w:spacing w:lineRule="auto" w:line="240" w:before="120" w:after="120"/>
        <w:rPr/>
      </w:pPr>
      <w:r>
        <w:rPr>
          <w:rStyle w:val="FootnoteCharacters"/>
        </w:rPr>
        <w:footnoteRef/>
      </w:r>
      <w:r>
        <w:rPr/>
        <w:t xml:space="preserve"> </w:t>
      </w:r>
      <w:r>
        <w:rPr/>
        <w:t xml:space="preserve">In addition to people and organizational changes, Enron invested heavily in computer technology.  </w:t>
      </w:r>
    </w:p>
  </w:footnote>
  <w:footnote w:id="9">
    <w:p>
      <w:pPr>
        <w:pStyle w:val="FootnoteText"/>
        <w:spacing w:lineRule="auto" w:line="240" w:before="120" w:after="120"/>
        <w:rPr/>
      </w:pPr>
      <w:r>
        <w:rPr>
          <w:rStyle w:val="FootnoteCharacters"/>
        </w:rPr>
        <w:footnoteRef/>
      </w:r>
      <w:r>
        <w:rPr/>
        <w:t xml:space="preserve"> </w:t>
      </w:r>
      <w:r>
        <w:rPr/>
        <w:t>For example, the skills and behaviors used as the basis for evaluating the performance of Vice President/Managing Director are the following:  (i) innovation/entrepreneurship, (ii) communication/setting direction, (iii) teamwork/interpersonal, (iv) leadership/vision/values, (v) business instincts, and (vi) analytical/technical..</w:t>
      </w:r>
    </w:p>
  </w:footnote>
  <w:footnote w:id="10">
    <w:p>
      <w:pPr>
        <w:pStyle w:val="FootnoteText"/>
        <w:spacing w:lineRule="auto" w:line="240" w:before="120" w:after="120"/>
        <w:rPr/>
      </w:pPr>
      <w:r>
        <w:rPr>
          <w:rStyle w:val="FootnoteCharacters"/>
        </w:rPr>
        <w:footnoteRef/>
      </w:r>
      <w:r>
        <w:rPr/>
        <w:t xml:space="preserve"> </w:t>
      </w:r>
      <w:r>
        <w:rPr/>
        <w:t>Appendix A contains definitions of the meanings attached to each of the performance categories.</w:t>
      </w:r>
    </w:p>
  </w:footnote>
  <w:footnote w:id="11">
    <w:p>
      <w:pPr>
        <w:pStyle w:val="FootnoteText"/>
        <w:spacing w:lineRule="auto" w:line="240" w:before="120" w:after="120"/>
        <w:rPr/>
      </w:pPr>
      <w:r>
        <w:rPr>
          <w:rStyle w:val="FootnoteCharacters"/>
        </w:rPr>
        <w:footnoteRef/>
      </w:r>
      <w:r>
        <w:rPr/>
        <w:t xml:space="preserve"> </w:t>
      </w:r>
      <w:r>
        <w:rPr/>
        <w:t xml:space="preserve">Russ Banham, 2001, Viewing the Opportunity in Risk, </w:t>
      </w:r>
      <w:r>
        <w:rPr>
          <w:i/>
          <w:iCs/>
        </w:rPr>
        <w:t>Treasury &amp; Risk Management</w:t>
      </w:r>
      <w:r>
        <w:rPr/>
        <w:t>, (December/January), 41-42.</w:t>
      </w:r>
    </w:p>
  </w:footnote>
  <w:footnote w:id="12">
    <w:p>
      <w:pPr>
        <w:pStyle w:val="FootnoteText"/>
        <w:spacing w:lineRule="auto" w:line="240" w:before="120" w:after="120"/>
        <w:rPr/>
      </w:pPr>
      <w:r>
        <w:rPr>
          <w:rStyle w:val="FootnoteCharacters"/>
        </w:rPr>
        <w:footnoteRef/>
      </w:r>
      <w:r>
        <w:rPr/>
        <w:t xml:space="preserve"> </w:t>
      </w:r>
      <w:r>
        <w:rPr/>
        <w:t>Enron Annual Report 1999, p. 38.</w:t>
      </w:r>
    </w:p>
  </w:footnote>
  <w:footnote w:id="13">
    <w:p>
      <w:pPr>
        <w:pStyle w:val="FootnoteText"/>
        <w:spacing w:lineRule="auto" w:line="240" w:before="120" w:after="120"/>
        <w:rPr/>
      </w:pPr>
      <w:r>
        <w:rPr>
          <w:rStyle w:val="FootnoteCharacters"/>
        </w:rPr>
        <w:footnoteRef/>
      </w:r>
      <w:r>
        <w:rPr/>
        <w:t xml:space="preserve"> </w:t>
      </w:r>
      <w:r>
        <w:rPr/>
        <w:t xml:space="preserve">See Vince Kaminski, 1998, Credit derivatives:  Applications of risk management, investment and portfolio optimization, </w:t>
      </w:r>
      <w:r>
        <w:rPr>
          <w:i/>
          <w:iCs/>
        </w:rPr>
        <w:t>Credit Derivatives</w:t>
      </w:r>
      <w:r>
        <w:rPr/>
        <w:t>.</w:t>
      </w:r>
    </w:p>
  </w:footnote>
  <w:footnote w:id="14">
    <w:p>
      <w:pPr>
        <w:pStyle w:val="FootnoteText"/>
        <w:spacing w:lineRule="auto" w:line="240" w:before="120" w:after="120"/>
        <w:rPr/>
      </w:pPr>
      <w:r>
        <w:rPr>
          <w:rStyle w:val="FootnoteCharacters"/>
        </w:rPr>
        <w:footnoteRef/>
      </w:r>
      <w:r>
        <w:rPr/>
        <w:t xml:space="preserve"> </w:t>
      </w:r>
      <w:r>
        <w:rPr/>
        <w:t>See Kevin Hannon and Vince Kaminski, 1998, BTU:  the next step, Energy &amp; Power Risk Management 3, No. 1, (April).</w:t>
      </w:r>
    </w:p>
  </w:footnote>
  <w:footnote w:id="15">
    <w:p>
      <w:pPr>
        <w:pStyle w:val="FootnoteText"/>
        <w:spacing w:lineRule="auto" w:line="240" w:before="120" w:after="120"/>
        <w:rPr/>
      </w:pPr>
      <w:r>
        <w:rPr>
          <w:rStyle w:val="FootnoteCharacters"/>
        </w:rPr>
        <w:footnoteRef/>
      </w:r>
      <w:r>
        <w:rPr/>
        <w:t xml:space="preserve"> </w:t>
      </w:r>
      <w:r>
        <w:rPr/>
        <w:t xml:space="preserve">See Peter Coy, 1999, Exploiting uncertainty:  The "real-options" revolution in decision-making, </w:t>
      </w:r>
      <w:r>
        <w:rPr>
          <w:u w:val="single"/>
        </w:rPr>
        <w:t>BusinessWeek</w:t>
      </w:r>
      <w:r>
        <w:rPr/>
        <w:t xml:space="preserve"> (June 7).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o"/>
      <w:lvlJc w:val="start"/>
      <w:pPr>
        <w:tabs>
          <w:tab w:val="num" w:pos="780"/>
        </w:tabs>
        <w:ind w:start="780" w:hanging="360"/>
      </w:pPr>
      <w:rPr>
        <w:rFonts w:ascii="Courier New" w:hAnsi="Courier New" w:cs="Courier New" w:hint="default"/>
      </w:rPr>
    </w:lvl>
  </w:abstractNum>
  <w:abstractNum w:abstractNumId="3">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480" w:before="120" w:after="120"/>
      <w:jc w:val="both"/>
    </w:pPr>
    <w:rPr>
      <w:rFonts w:ascii="Times New Roman" w:hAnsi="Times New Roman" w:eastAsia="Times New Roman" w:cs="Times New Roman"/>
      <w:bCs/>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ind w:hanging="0" w:start="0" w:end="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120"/>
      <w:ind w:hanging="0" w:start="0" w:end="0"/>
      <w:outlineLvl w:val="1"/>
    </w:pPr>
    <w:rPr>
      <w:rFonts w:ascii="Arial" w:hAnsi="Arial" w:cs="Arial"/>
      <w:b/>
      <w:i/>
    </w:rPr>
  </w:style>
  <w:style w:type="paragraph" w:styleId="Heading3">
    <w:name w:val="heading 3"/>
    <w:basedOn w:val="Normal"/>
    <w:next w:val="Normal"/>
    <w:qFormat/>
    <w:pPr>
      <w:keepNext w:val="true"/>
      <w:numPr>
        <w:ilvl w:val="2"/>
        <w:numId w:val="1"/>
      </w:numPr>
      <w:spacing w:before="120" w:after="120"/>
      <w:jc w:val="both"/>
      <w:outlineLvl w:val="2"/>
    </w:pPr>
    <w:rPr>
      <w:rFonts w:ascii="Arial" w:hAnsi="Arial" w:cs="Arial"/>
      <w:i/>
    </w:rPr>
  </w:style>
  <w:style w:type="paragraph" w:styleId="Heading4">
    <w:name w:val="heading 4"/>
    <w:basedOn w:val="Normal"/>
    <w:next w:val="Normal"/>
    <w:qFormat/>
    <w:pPr>
      <w:keepNext w:val="true"/>
      <w:numPr>
        <w:ilvl w:val="3"/>
        <w:numId w:val="1"/>
      </w:numPr>
      <w:spacing w:before="120" w:after="120"/>
      <w:ind w:firstLine="720" w:start="0" w:end="0"/>
      <w:jc w:val="center"/>
      <w:outlineLvl w:val="3"/>
    </w:pPr>
    <w:rPr>
      <w:i/>
    </w:rPr>
  </w:style>
  <w:style w:type="character" w:styleId="WW8Num1z0">
    <w:name w:val="WW8Num1z0"/>
    <w:qFormat/>
    <w:rPr>
      <w:rFonts w:ascii="Symbol" w:hAnsi="Symbol" w:cs="Symbol"/>
    </w:rPr>
  </w:style>
  <w:style w:type="character" w:styleId="WW8Num1z2">
    <w:name w:val="WW8Num1z2"/>
    <w:qFormat/>
    <w:rPr>
      <w:rFonts w:ascii="Wingdings" w:hAnsi="Wingdings" w:cs="Wingdings"/>
    </w:rPr>
  </w:style>
  <w:style w:type="character" w:styleId="WW8Num1z4">
    <w:name w:val="WW8Num1z4"/>
    <w:qFormat/>
    <w:rPr>
      <w:rFonts w:ascii="Courier New" w:hAnsi="Courier New" w:cs="Courier New"/>
    </w:rPr>
  </w:style>
  <w:style w:type="character" w:styleId="WW8Num2z0">
    <w:name w:val="WW8Num2z0"/>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20"/>
      <w:vertAlign w:val="superscript"/>
    </w:rPr>
  </w:style>
  <w:style w:type="character" w:styleId="Hyperlink">
    <w:name w:val="Hyperlink"/>
    <w:basedOn w:val="DefaultParagraphFont"/>
    <w:rPr>
      <w:color w:val="0000FF"/>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firstLine="720" w:start="0" w:end="0"/>
    </w:pPr>
    <w:rPr>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aperTitle">
    <w:name w:val="PaperTitle"/>
    <w:basedOn w:val="Normal"/>
    <w:qFormat/>
    <w:pPr>
      <w:ind w:firstLine="720" w:start="0" w:end="0"/>
      <w:jc w:val="center"/>
    </w:pPr>
    <w:rPr>
      <w:sz w:val="32"/>
    </w:rPr>
  </w:style>
  <w:style w:type="paragraph" w:styleId="FootnoteText">
    <w:name w:val="footnote text"/>
    <w:basedOn w:val="Normal"/>
    <w:pPr>
      <w:spacing w:lineRule="auto" w:line="240"/>
    </w:pPr>
    <w:rPr>
      <w:sz w:val="18"/>
    </w:rPr>
  </w:style>
  <w:style w:type="paragraph" w:styleId="BodyTextIndent">
    <w:name w:val="Body Text Indent"/>
    <w:basedOn w:val="Normal"/>
    <w:pPr>
      <w:spacing w:before="120" w:after="120"/>
      <w:ind w:hanging="0" w:start="720" w:end="720"/>
      <w:jc w:val="both"/>
    </w:pPr>
    <w:rPr/>
  </w:style>
  <w:style w:type="paragraph" w:styleId="BodyTextIndent2">
    <w:name w:val="Body Text Indent 2"/>
    <w:basedOn w:val="Normal"/>
    <w:qFormat/>
    <w:pPr/>
    <w:rPr/>
  </w:style>
  <w:style w:type="paragraph" w:styleId="Subtitle">
    <w:name w:val="Subtitle"/>
    <w:basedOn w:val="Normal"/>
    <w:next w:val="BodyText"/>
    <w:qFormat/>
    <w:pPr>
      <w:spacing w:lineRule="auto" w:line="240" w:before="240" w:after="120"/>
      <w:ind w:hanging="0" w:start="0" w:end="0"/>
      <w:jc w:val="start"/>
    </w:pPr>
    <w:rPr>
      <w:b/>
      <w: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jc w:val="start"/>
    </w:pPr>
    <w:rPr>
      <w:bCs w:val="false"/>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start"/>
    </w:pPr>
    <w:rPr>
      <w:rFonts w:ascii="Courier New" w:hAnsi="Courier New" w:eastAsia="Courier New" w:cs="Courier New"/>
      <w:bCs w:val="false"/>
      <w:sz w:val="20"/>
      <w:szCs w:val="20"/>
    </w:rPr>
  </w:style>
  <w:style w:type="paragraph" w:styleId="TOC1">
    <w:name w:val="toc 1"/>
    <w:basedOn w:val="Normal"/>
    <w:next w:val="Normal"/>
    <w:pPr>
      <w:jc w:val="start"/>
    </w:pPr>
    <w:rPr>
      <w:b/>
      <w:caps/>
    </w:rPr>
  </w:style>
  <w:style w:type="paragraph" w:styleId="TOC2">
    <w:name w:val="toc 2"/>
    <w:basedOn w:val="Normal"/>
    <w:next w:val="Normal"/>
    <w:pPr>
      <w:spacing w:before="0" w:after="0"/>
      <w:ind w:hanging="0" w:start="240" w:end="0"/>
      <w:jc w:val="start"/>
    </w:pPr>
    <w:rPr>
      <w:bCs w:val="false"/>
      <w:smallCaps/>
    </w:rPr>
  </w:style>
  <w:style w:type="paragraph" w:styleId="TOC3">
    <w:name w:val="toc 3"/>
    <w:basedOn w:val="Normal"/>
    <w:next w:val="Normal"/>
    <w:pPr>
      <w:spacing w:before="0" w:after="0"/>
      <w:ind w:hanging="0" w:start="480" w:end="0"/>
      <w:jc w:val="start"/>
    </w:pPr>
    <w:rPr>
      <w:bCs w:val="false"/>
      <w:i/>
      <w:iCs/>
    </w:rPr>
  </w:style>
  <w:style w:type="paragraph" w:styleId="TOC4">
    <w:name w:val="toc 4"/>
    <w:basedOn w:val="Normal"/>
    <w:next w:val="Normal"/>
    <w:pPr>
      <w:spacing w:before="0" w:after="0"/>
      <w:ind w:hanging="0" w:start="720" w:end="0"/>
      <w:jc w:val="start"/>
    </w:pPr>
    <w:rPr>
      <w:bCs w:val="false"/>
      <w:szCs w:val="21"/>
    </w:rPr>
  </w:style>
  <w:style w:type="paragraph" w:styleId="TOC5">
    <w:name w:val="toc 5"/>
    <w:basedOn w:val="Normal"/>
    <w:next w:val="Normal"/>
    <w:pPr>
      <w:spacing w:before="0" w:after="0"/>
      <w:ind w:hanging="0" w:start="960" w:end="0"/>
      <w:jc w:val="start"/>
    </w:pPr>
    <w:rPr>
      <w:bCs w:val="false"/>
      <w:szCs w:val="21"/>
    </w:rPr>
  </w:style>
  <w:style w:type="paragraph" w:styleId="TOC6">
    <w:name w:val="toc 6"/>
    <w:basedOn w:val="Normal"/>
    <w:next w:val="Normal"/>
    <w:pPr>
      <w:spacing w:before="0" w:after="0"/>
      <w:ind w:hanging="0" w:start="1200" w:end="0"/>
      <w:jc w:val="start"/>
    </w:pPr>
    <w:rPr>
      <w:bCs w:val="false"/>
      <w:szCs w:val="21"/>
    </w:rPr>
  </w:style>
  <w:style w:type="paragraph" w:styleId="TOC7">
    <w:name w:val="toc 7"/>
    <w:basedOn w:val="Normal"/>
    <w:next w:val="Normal"/>
    <w:pPr>
      <w:spacing w:before="0" w:after="0"/>
      <w:ind w:hanging="0" w:start="1440" w:end="0"/>
      <w:jc w:val="start"/>
    </w:pPr>
    <w:rPr>
      <w:bCs w:val="false"/>
      <w:szCs w:val="21"/>
    </w:rPr>
  </w:style>
  <w:style w:type="paragraph" w:styleId="TOC8">
    <w:name w:val="toc 8"/>
    <w:basedOn w:val="Normal"/>
    <w:next w:val="Normal"/>
    <w:pPr>
      <w:spacing w:before="0" w:after="0"/>
      <w:ind w:hanging="0" w:start="1680" w:end="0"/>
      <w:jc w:val="start"/>
    </w:pPr>
    <w:rPr>
      <w:bCs w:val="false"/>
      <w:szCs w:val="21"/>
    </w:rPr>
  </w:style>
  <w:style w:type="paragraph" w:styleId="TOC9">
    <w:name w:val="toc 9"/>
    <w:basedOn w:val="Normal"/>
    <w:next w:val="Normal"/>
    <w:pPr>
      <w:spacing w:before="0" w:after="0"/>
      <w:ind w:hanging="0" w:start="1920" w:end="0"/>
      <w:jc w:val="start"/>
    </w:pPr>
    <w:rPr>
      <w:bCs w:val="false"/>
      <w:szCs w:val="21"/>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2000-10-04T20:40:00Z</dcterms:created>
  <dc:creator>Casey Computer Center</dc:creator>
  <dc:description/>
  <dc:language>en-CA</dc:language>
  <cp:lastModifiedBy>Casey Computer Center</cp:lastModifiedBy>
  <cp:lastPrinted>2001-01-18T17:34:00Z</cp:lastPrinted>
  <dcterms:modified xsi:type="dcterms:W3CDTF">2001-01-19T19:11:00Z</dcterms:modified>
  <cp:revision>71</cp:revision>
  <dc:subject/>
  <dc:title>Enron Corporation Paper</dc:title>
</cp:coreProperties>
</file>