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decimal" w:pos="7110" w:leader="none"/>
        </w:tabs>
        <w:jc w:val="center"/>
        <w:rPr>
          <w:b/>
          <w:sz w:val="32"/>
        </w:rPr>
      </w:pPr>
      <w:r>
        <w:rPr>
          <w:b/>
          <w:sz w:val="32"/>
        </w:rPr>
        <w:t>Enron’s Visions to Date</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numPr>
          <w:ilvl w:val="0"/>
          <w:numId w:val="36"/>
        </w:numPr>
        <w:tabs>
          <w:tab w:val="clear" w:pos="720"/>
          <w:tab w:val="decimal" w:pos="7110" w:leader="none"/>
        </w:tabs>
        <w:spacing w:lineRule="auto" w:line="360"/>
        <w:rPr>
          <w:sz w:val="28"/>
        </w:rPr>
      </w:pPr>
      <w:r>
        <w:rPr>
          <w:i/>
          <w:sz w:val="28"/>
        </w:rPr>
        <w:t>“</w:t>
      </w:r>
      <w:r>
        <w:rPr>
          <w:i/>
          <w:sz w:val="28"/>
        </w:rPr>
        <w:t>No company outperforms its aspirations.  If most of your colleagues believe you are in a 5% or 10% growth business, you are.”</w:t>
      </w:r>
      <w:r>
        <w:rPr>
          <w:sz w:val="28"/>
        </w:rPr>
        <w:t xml:space="preserve">  - Gary Hamel, </w:t>
      </w:r>
      <w:r>
        <w:rPr>
          <w:sz w:val="28"/>
          <w:u w:val="single"/>
        </w:rPr>
        <w:t>Reinvent Your Company</w:t>
      </w:r>
      <w:r>
        <w:rPr>
          <w:sz w:val="28"/>
        </w:rPr>
        <w:t>, Fortune Magazine, June 2000</w:t>
      </w:r>
    </w:p>
    <w:p>
      <w:pPr>
        <w:pStyle w:val="Normal"/>
        <w:tabs>
          <w:tab w:val="clear" w:pos="720"/>
          <w:tab w:val="decimal" w:pos="7110" w:leader="none"/>
        </w:tabs>
        <w:spacing w:lineRule="auto" w:line="360"/>
        <w:rPr>
          <w:sz w:val="28"/>
        </w:rPr>
      </w:pPr>
      <w:r>
        <w:rPr>
          <w:sz w:val="28"/>
        </w:rPr>
      </w:r>
    </w:p>
    <w:p>
      <w:pPr>
        <w:pStyle w:val="Normal"/>
        <w:tabs>
          <w:tab w:val="clear" w:pos="720"/>
          <w:tab w:val="decimal" w:pos="7110" w:leader="none"/>
        </w:tabs>
        <w:spacing w:lineRule="auto" w:line="360"/>
        <w:rPr>
          <w:sz w:val="28"/>
        </w:rPr>
      </w:pPr>
      <w:r>
        <w:rPr>
          <w:sz w:val="28"/>
        </w:rPr>
      </w:r>
    </w:p>
    <w:p>
      <w:pPr>
        <w:pStyle w:val="Normal"/>
        <w:numPr>
          <w:ilvl w:val="0"/>
          <w:numId w:val="58"/>
        </w:numPr>
        <w:tabs>
          <w:tab w:val="clear" w:pos="720"/>
          <w:tab w:val="left" w:pos="360" w:leader="none"/>
          <w:tab w:val="decimal" w:pos="7110" w:leader="none"/>
        </w:tabs>
        <w:spacing w:lineRule="auto" w:line="360"/>
        <w:ind w:hanging="360" w:start="360" w:end="0"/>
        <w:rPr>
          <w:sz w:val="28"/>
        </w:rPr>
      </w:pPr>
      <w:r>
        <w:rPr>
          <w:sz w:val="28"/>
        </w:rPr>
        <w:t>The first step to reaching a lofty goal is to set it.  Enron has continued to set very aggressive goals and, as soon as they are reached, we set the next aggressive goal.  [we are currently debating on what our next vision should be]</w:t>
      </w:r>
    </w:p>
    <w:p>
      <w:pPr>
        <w:pStyle w:val="Normal"/>
        <w:tabs>
          <w:tab w:val="clear" w:pos="720"/>
          <w:tab w:val="decimal" w:pos="7110" w:leader="none"/>
        </w:tabs>
        <w:spacing w:lineRule="auto" w:line="360"/>
        <w:rPr>
          <w:sz w:val="28"/>
        </w:rPr>
      </w:pPr>
      <w:r>
        <w:rPr>
          <w:sz w:val="28"/>
        </w:rPr>
      </w:r>
    </w:p>
    <w:p>
      <w:pPr>
        <w:pStyle w:val="Normal"/>
        <w:tabs>
          <w:tab w:val="clear" w:pos="720"/>
          <w:tab w:val="decimal" w:pos="7110" w:leader="none"/>
        </w:tabs>
        <w:spacing w:lineRule="auto" w:line="360"/>
        <w:rPr>
          <w:sz w:val="28"/>
        </w:rPr>
      </w:pPr>
      <w:r>
        <w:rPr>
          <w:sz w:val="28"/>
        </w:rPr>
      </w:r>
    </w:p>
    <w:p>
      <w:pPr>
        <w:pStyle w:val="Normal"/>
        <w:numPr>
          <w:ilvl w:val="0"/>
          <w:numId w:val="58"/>
        </w:numPr>
        <w:tabs>
          <w:tab w:val="clear" w:pos="720"/>
          <w:tab w:val="left" w:pos="360" w:leader="none"/>
          <w:tab w:val="left" w:pos="1080" w:leader="none"/>
          <w:tab w:val="decimal" w:pos="7110" w:leader="none"/>
        </w:tabs>
        <w:ind w:hanging="360" w:start="360" w:end="0"/>
        <w:rPr>
          <w:sz w:val="28"/>
        </w:rPr>
      </w:pPr>
      <w:r>
        <w:rPr>
          <w:sz w:val="28"/>
        </w:rPr>
        <w:t>It is not easy to convince people in an organization that it is reasonable to strive for unreasonable goals, yet we exist in a time when growing at the same rate as your peers is just not good enough and we are getting quite used to phenomenal results in the business world as well as in the general economy.</w:t>
      </w:r>
    </w:p>
    <w:p>
      <w:pPr>
        <w:pStyle w:val="Normal"/>
        <w:tabs>
          <w:tab w:val="clear" w:pos="720"/>
          <w:tab w:val="left" w:pos="1080" w:leader="none"/>
          <w:tab w:val="decimal" w:pos="7110" w:leader="none"/>
        </w:tabs>
        <w:rPr>
          <w:sz w:val="28"/>
        </w:rPr>
      </w:pPr>
      <w:r>
        <w:rPr>
          <w:sz w:val="28"/>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Stock Price Performance</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2000 Year-to-Date</w:t>
        <w:b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Normal"/>
        <w:jc w:val="center"/>
        <w:rPr>
          <w:b/>
          <w:sz w:val="28"/>
        </w:rPr>
      </w:pPr>
      <w:r>
        <w:rPr>
          <w:b/>
          <w:sz w:val="28"/>
        </w:rPr>
      </w:r>
    </w:p>
    <w:p>
      <w:pPr>
        <w:pStyle w:val="Normal"/>
        <w:numPr>
          <w:ilvl w:val="0"/>
          <w:numId w:val="27"/>
        </w:numPr>
        <w:rPr>
          <w:sz w:val="28"/>
        </w:rPr>
      </w:pPr>
      <w:r>
        <w:rPr>
          <w:sz w:val="28"/>
        </w:rPr>
        <w:t>Since January 1, 2000, Enron has significantly outperformed both the S&amp;P 500 and the NASDAQ.  The Enron Stock price has almost doubled, while both the S&amp;P and the NASDAQ are struggling to reach a positive return.</w:t>
      </w:r>
    </w:p>
    <w:p>
      <w:pPr>
        <w:pStyle w:val="Normal"/>
        <w:rPr>
          <w:sz w:val="28"/>
        </w:rPr>
      </w:pPr>
      <w:r>
        <w:rPr>
          <w:sz w:val="28"/>
        </w:rPr>
      </w:r>
    </w:p>
    <w:p>
      <w:pPr>
        <w:pStyle w:val="Normal"/>
        <w:rPr>
          <w:sz w:val="28"/>
        </w:rPr>
      </w:pPr>
      <w:r>
        <w:rPr>
          <w:sz w:val="28"/>
        </w:rPr>
      </w:r>
    </w:p>
    <w:p>
      <w:pPr>
        <w:pStyle w:val="BodyTextIndent"/>
        <w:numPr>
          <w:ilvl w:val="0"/>
          <w:numId w:val="26"/>
        </w:numPr>
        <w:tabs>
          <w:tab w:val="clear" w:pos="5940"/>
        </w:tabs>
        <w:rPr>
          <w:sz w:val="28"/>
          <w:u w:val="single"/>
        </w:rPr>
      </w:pPr>
      <w:r>
        <w:rPr>
          <w:sz w:val="28"/>
        </w:rPr>
        <w:t xml:space="preserve">From January of 1990 through May of 2000, Enron has outperformed the S&amp;P 500, the pipeline average, the exploration and production average and the utility average.  These sectors are representative of the businesses in which we operated at the start of the decade.  </w:t>
      </w:r>
    </w:p>
    <w:p>
      <w:pPr>
        <w:pStyle w:val="BodyTextIndent"/>
        <w:tabs>
          <w:tab w:val="clear" w:pos="5940"/>
        </w:tabs>
        <w:rPr>
          <w:sz w:val="28"/>
          <w:u w:val="single"/>
        </w:rPr>
      </w:pPr>
      <w:r>
        <w:rPr>
          <w:sz w:val="28"/>
          <w:u w:val="single"/>
        </w:rPr>
      </w:r>
    </w:p>
    <w:p>
      <w:pPr>
        <w:pStyle w:val="BodyTextIndent"/>
        <w:numPr>
          <w:ilvl w:val="1"/>
          <w:numId w:val="26"/>
        </w:numPr>
        <w:tabs>
          <w:tab w:val="clear" w:pos="5940"/>
        </w:tabs>
        <w:rPr>
          <w:sz w:val="28"/>
          <w:u w:val="single"/>
        </w:rPr>
      </w:pPr>
      <w:r>
        <w:rPr>
          <w:sz w:val="28"/>
        </w:rPr>
        <w:t xml:space="preserve">Enron provided a return of </w:t>
      </w:r>
      <w:r>
        <w:rPr>
          <w:b/>
          <w:sz w:val="28"/>
          <w:u w:val="single"/>
        </w:rPr>
        <w:t>1,224%</w:t>
      </w:r>
      <w:r>
        <w:rPr>
          <w:sz w:val="28"/>
          <w:u w:val="single"/>
        </w:rPr>
        <w:t xml:space="preserve"> from the start of 1990 through the end of the May, 2000.</w:t>
      </w:r>
    </w:p>
    <w:p>
      <w:pPr>
        <w:pStyle w:val="BodyTextIndent"/>
        <w:numPr>
          <w:ilvl w:val="1"/>
          <w:numId w:val="26"/>
        </w:numPr>
        <w:tabs>
          <w:tab w:val="clear" w:pos="5940"/>
        </w:tabs>
        <w:rPr>
          <w:sz w:val="28"/>
          <w:u w:val="single"/>
        </w:rPr>
      </w:pPr>
      <w:r>
        <w:rPr>
          <w:sz w:val="28"/>
        </w:rPr>
        <w:t>S&amp;P 500 – 417%</w:t>
      </w:r>
    </w:p>
    <w:p>
      <w:pPr>
        <w:pStyle w:val="BodyTextIndent"/>
        <w:numPr>
          <w:ilvl w:val="1"/>
          <w:numId w:val="26"/>
        </w:numPr>
        <w:tabs>
          <w:tab w:val="clear" w:pos="5940"/>
        </w:tabs>
        <w:rPr>
          <w:sz w:val="28"/>
          <w:u w:val="single"/>
        </w:rPr>
      </w:pPr>
      <w:r>
        <w:rPr>
          <w:sz w:val="28"/>
        </w:rPr>
        <w:t>Pipeline Avg. – 279%</w:t>
      </w:r>
    </w:p>
    <w:p>
      <w:pPr>
        <w:pStyle w:val="BodyTextIndent"/>
        <w:numPr>
          <w:ilvl w:val="1"/>
          <w:numId w:val="26"/>
        </w:numPr>
        <w:tabs>
          <w:tab w:val="clear" w:pos="5940"/>
        </w:tabs>
        <w:rPr>
          <w:sz w:val="28"/>
          <w:u w:val="single"/>
        </w:rPr>
      </w:pPr>
      <w:r>
        <w:rPr>
          <w:sz w:val="28"/>
        </w:rPr>
        <w:t>Utility Avg. – 195%</w:t>
      </w:r>
    </w:p>
    <w:p>
      <w:pPr>
        <w:pStyle w:val="BodyTextIndent"/>
        <w:numPr>
          <w:ilvl w:val="1"/>
          <w:numId w:val="26"/>
        </w:numPr>
        <w:tabs>
          <w:tab w:val="clear" w:pos="5940"/>
        </w:tabs>
        <w:rPr>
          <w:sz w:val="28"/>
          <w:u w:val="single"/>
        </w:rPr>
      </w:pPr>
      <w:r>
        <w:rPr>
          <w:sz w:val="28"/>
        </w:rPr>
        <w:t>E&amp;P Avg. – 93%</w:t>
      </w:r>
    </w:p>
    <w:p>
      <w:pPr>
        <w:pStyle w:val="BodyTextIndent"/>
        <w:tabs>
          <w:tab w:val="left" w:pos="1350" w:leader="none"/>
          <w:tab w:val="left" w:pos="1620" w:leader="none"/>
          <w:tab w:val="left" w:pos="5940" w:leader="none"/>
        </w:tabs>
        <w:ind w:hanging="0" w:start="0" w:end="0"/>
        <w:rPr>
          <w:sz w:val="28"/>
        </w:rPr>
      </w:pPr>
      <w:r>
        <w:rPr>
          <w:sz w:val="28"/>
        </w:rPr>
        <w:br/>
        <w:tab/>
        <w:tab/>
        <w:t xml:space="preserve">                                                    Note:</w:t>
      </w:r>
    </w:p>
    <w:p>
      <w:pPr>
        <w:pStyle w:val="BodyTextIndent"/>
        <w:numPr>
          <w:ilvl w:val="0"/>
          <w:numId w:val="24"/>
        </w:numPr>
        <w:tabs>
          <w:tab w:val="left" w:pos="900" w:leader="none"/>
          <w:tab w:val="left" w:pos="5310" w:leader="none"/>
          <w:tab w:val="left" w:pos="5940" w:leader="none"/>
        </w:tabs>
        <w:ind w:hanging="180" w:start="5940" w:end="0"/>
        <w:rPr>
          <w:sz w:val="24"/>
        </w:rPr>
      </w:pPr>
      <w:r>
        <w:rPr>
          <w:sz w:val="24"/>
        </w:rPr>
        <w:t>The pipeline average includes Coastal, Columbia, CNG, Kinder Morgan, Sonat (through 9/99), TransCanada and Williams</w:t>
      </w:r>
    </w:p>
    <w:p>
      <w:pPr>
        <w:pStyle w:val="BodyTextIndent"/>
        <w:tabs>
          <w:tab w:val="left" w:pos="900" w:leader="none"/>
          <w:tab w:val="left" w:pos="5940" w:leader="none"/>
        </w:tabs>
        <w:ind w:hanging="270" w:start="5040" w:end="0"/>
        <w:rPr>
          <w:sz w:val="24"/>
        </w:rPr>
      </w:pPr>
      <w:r>
        <w:rPr>
          <w:sz w:val="24"/>
        </w:rPr>
        <w:tab/>
        <w:tab/>
        <w:tab/>
      </w:r>
    </w:p>
    <w:p>
      <w:pPr>
        <w:pStyle w:val="BodyTextIndent"/>
        <w:tabs>
          <w:tab w:val="left" w:pos="900" w:leader="none"/>
          <w:tab w:val="left" w:pos="1620" w:leader="none"/>
          <w:tab w:val="left" w:pos="5940" w:leader="none"/>
        </w:tabs>
        <w:ind w:hanging="180" w:start="5940" w:end="0"/>
        <w:jc w:val="both"/>
        <w:rPr>
          <w:sz w:val="24"/>
        </w:rPr>
      </w:pPr>
      <w:r>
        <w:rPr>
          <w:sz w:val="24"/>
        </w:rPr>
        <w:t>-</w:t>
        <w:tab/>
        <w:t>The E&amp;P average includes Burlington Resources, Anadarko, Apache, Oryx Energy (through 2/99) and Noble Affiliates</w:t>
      </w:r>
    </w:p>
    <w:p>
      <w:pPr>
        <w:pStyle w:val="BodyTextIndent"/>
        <w:tabs>
          <w:tab w:val="left" w:pos="900" w:leader="none"/>
          <w:tab w:val="left" w:pos="1440" w:leader="none"/>
          <w:tab w:val="left" w:pos="5940" w:leader="none"/>
        </w:tabs>
        <w:ind w:hanging="540" w:start="6120" w:end="0"/>
        <w:rPr>
          <w:sz w:val="24"/>
        </w:rPr>
      </w:pPr>
      <w:r>
        <w:rPr>
          <w:sz w:val="24"/>
        </w:rPr>
        <w:tab/>
      </w:r>
    </w:p>
    <w:p>
      <w:pPr>
        <w:pStyle w:val="BodyTextIndent"/>
        <w:numPr>
          <w:ilvl w:val="0"/>
          <w:numId w:val="24"/>
        </w:numPr>
        <w:tabs>
          <w:tab w:val="left" w:pos="900" w:leader="none"/>
          <w:tab w:val="left" w:pos="5940" w:leader="none"/>
          <w:tab w:val="left" w:pos="6120" w:leader="none"/>
        </w:tabs>
        <w:ind w:hanging="360" w:start="6120" w:end="0"/>
        <w:rPr>
          <w:sz w:val="24"/>
        </w:rPr>
      </w:pPr>
      <w:r>
        <w:rPr>
          <w:sz w:val="24"/>
        </w:rPr>
        <w:t>The utility average includes Duke, Southern, Reliant, PG&amp;E, and ConEd</w:t>
      </w:r>
    </w:p>
    <w:p>
      <w:pPr>
        <w:pStyle w:val="BodyTextIndent"/>
        <w:tabs>
          <w:tab w:val="left" w:pos="900" w:leader="none"/>
          <w:tab w:val="left" w:pos="1440" w:leader="none"/>
          <w:tab w:val="left" w:pos="5940" w:leader="none"/>
        </w:tabs>
        <w:ind w:start="10440" w:end="0"/>
        <w:rPr>
          <w:sz w:val="24"/>
        </w:rPr>
      </w:pPr>
      <w:r>
        <w:rPr>
          <w:sz w:val="24"/>
        </w:rPr>
      </w:r>
    </w:p>
    <w:p>
      <w:pPr>
        <w:pStyle w:val="Normal"/>
        <w:numPr>
          <w:ilvl w:val="0"/>
          <w:numId w:val="24"/>
        </w:numPr>
        <w:tabs>
          <w:tab w:val="clear" w:pos="720"/>
          <w:tab w:val="left" w:pos="900" w:leader="none"/>
          <w:tab w:val="left" w:pos="5940" w:leader="none"/>
        </w:tabs>
        <w:ind w:hanging="360" w:start="6120" w:end="0"/>
        <w:rPr>
          <w:sz w:val="28"/>
        </w:rPr>
      </w:pPr>
      <w:r>
        <w:rPr/>
        <w:t>Returns assume dividends are reinvested in security</w:t>
      </w:r>
      <w:r>
        <w:br w:type="page"/>
      </w:r>
    </w:p>
    <w:p>
      <w:pPr>
        <w:pStyle w:val="Normal"/>
        <w:jc w:val="center"/>
        <w:rPr>
          <w:b/>
          <w:sz w:val="32"/>
        </w:rPr>
      </w:pPr>
      <w:r>
        <w:rPr>
          <w:b/>
          <w:sz w:val="32"/>
        </w:rPr>
        <w:t>Market Capitalization of Energy Majors</w:t>
      </w:r>
    </w:p>
    <w:p>
      <w:pPr>
        <w:pStyle w:val="Normal"/>
        <w:jc w:val="center"/>
        <w:rPr>
          <w:b/>
          <w:sz w:val="32"/>
        </w:rPr>
      </w:pPr>
      <w:r>
        <w:rPr>
          <w:b/>
          <w:sz w:val="32"/>
        </w:rPr>
        <w:t>$  Billions</w:t>
      </w:r>
    </w:p>
    <w:p>
      <w:pPr>
        <w:pStyle w:val="Normal"/>
        <w:jc w:val="center"/>
        <w:rPr>
          <w:b/>
          <w:sz w:val="32"/>
        </w:rPr>
      </w:pPr>
      <w:r>
        <w:rPr>
          <w:b/>
          <w:sz w:val="32"/>
        </w:rPr>
      </w:r>
    </w:p>
    <w:p>
      <w:pPr>
        <w:pStyle w:val="Normal"/>
        <w:jc w:val="center"/>
        <w:rPr>
          <w:b/>
          <w:sz w:val="32"/>
        </w:rPr>
      </w:pPr>
      <w:r>
        <w:rPr>
          <w:b/>
          <w:sz w:val="32"/>
        </w:rPr>
      </w:r>
    </w:p>
    <w:p>
      <w:pPr>
        <w:pStyle w:val="Normal"/>
        <w:numPr>
          <w:ilvl w:val="0"/>
          <w:numId w:val="63"/>
        </w:numPr>
        <w:rPr>
          <w:sz w:val="28"/>
        </w:rPr>
      </w:pPr>
      <w:r>
        <w:rPr>
          <w:sz w:val="28"/>
        </w:rPr>
        <w:t xml:space="preserve">Enron has been moving steadily up the ranks of market capitalization.  </w:t>
      </w:r>
    </w:p>
    <w:p>
      <w:pPr>
        <w:pStyle w:val="Normal"/>
        <w:rPr>
          <w:sz w:val="28"/>
        </w:rPr>
      </w:pPr>
      <w:r>
        <w:rPr>
          <w:sz w:val="28"/>
        </w:rPr>
      </w:r>
    </w:p>
    <w:p>
      <w:pPr>
        <w:pStyle w:val="Normal"/>
        <w:numPr>
          <w:ilvl w:val="0"/>
          <w:numId w:val="13"/>
        </w:numPr>
        <w:rPr>
          <w:sz w:val="28"/>
        </w:rPr>
      </w:pPr>
      <w:r>
        <w:rPr>
          <w:sz w:val="28"/>
        </w:rPr>
        <w:t>Enron is a global energy major.  We handle more natural gas than any company in the world and we are the second largest electricity merchant in the world, behind only EDF.</w:t>
      </w:r>
    </w:p>
    <w:p>
      <w:pPr>
        <w:pStyle w:val="Header"/>
        <w:tabs>
          <w:tab w:val="clear" w:pos="4320"/>
          <w:tab w:val="clear" w:pos="8640"/>
        </w:tabs>
        <w:rPr>
          <w:sz w:val="28"/>
        </w:rPr>
      </w:pPr>
      <w:r>
        <w:rPr>
          <w:sz w:val="28"/>
        </w:rPr>
      </w:r>
    </w:p>
    <w:p>
      <w:pPr>
        <w:pStyle w:val="Normal"/>
        <w:numPr>
          <w:ilvl w:val="0"/>
          <w:numId w:val="49"/>
        </w:numPr>
        <w:rPr>
          <w:sz w:val="28"/>
        </w:rPr>
      </w:pPr>
      <w:r>
        <w:rPr>
          <w:sz w:val="28"/>
        </w:rPr>
        <w:t>We are currently the 5</w:t>
      </w:r>
      <w:r>
        <w:rPr>
          <w:sz w:val="28"/>
          <w:vertAlign w:val="superscript"/>
        </w:rPr>
        <w:t>th</w:t>
      </w:r>
      <w:r>
        <w:rPr>
          <w:sz w:val="28"/>
        </w:rPr>
        <w:t xml:space="preserve"> largest of the energy majors at $65 billion</w:t>
      </w:r>
    </w:p>
    <w:p>
      <w:pPr>
        <w:pStyle w:val="Normal"/>
        <w:rPr>
          <w:sz w:val="28"/>
        </w:rPr>
      </w:pPr>
      <w:r>
        <w:rPr>
          <w:sz w:val="28"/>
        </w:rPr>
      </w:r>
    </w:p>
    <w:p>
      <w:pPr>
        <w:pStyle w:val="Normal"/>
        <w:numPr>
          <w:ilvl w:val="0"/>
          <w:numId w:val="29"/>
        </w:numPr>
        <w:rPr>
          <w:sz w:val="28"/>
        </w:rPr>
      </w:pPr>
      <w:r>
        <w:rPr>
          <w:sz w:val="28"/>
        </w:rPr>
        <w:t>Enron’s discretionary cash flow this year is approximately $2.25 billion.  This is real cash flow.</w:t>
      </w:r>
    </w:p>
    <w:p>
      <w:pPr>
        <w:pStyle w:val="Normal"/>
        <w:rPr>
          <w:sz w:val="28"/>
        </w:rPr>
      </w:pPr>
      <w:r>
        <w:rPr>
          <w:sz w:val="28"/>
        </w:rPr>
      </w:r>
    </w:p>
    <w:p>
      <w:pPr>
        <w:pStyle w:val="Normal"/>
        <w:numPr>
          <w:ilvl w:val="0"/>
          <w:numId w:val="6"/>
        </w:numPr>
        <w:tabs>
          <w:tab w:val="clear" w:pos="720"/>
          <w:tab w:val="left" w:pos="360" w:leader="none"/>
        </w:tabs>
        <w:ind w:hanging="360" w:start="360" w:end="0"/>
        <w:rPr>
          <w:sz w:val="28"/>
        </w:rPr>
      </w:pPr>
      <w:r>
        <w:rPr>
          <w:sz w:val="28"/>
        </w:rPr>
        <w:t>Enron as a Fortune 500 company (based on revenue) was #18 last year versus #141 as recently as 1995</w:t>
      </w:r>
    </w:p>
    <w:p>
      <w:pPr>
        <w:pStyle w:val="BodyText3"/>
        <w:tabs>
          <w:tab w:val="left" w:pos="720" w:leader="none"/>
          <w:tab w:val="left" w:pos="1080" w:leader="none"/>
          <w:tab w:val="left" w:pos="4320" w:leader="none"/>
        </w:tabs>
        <w:rPr/>
      </w:pPr>
      <w:r>
        <w:rPr/>
        <w:t xml:space="preserve">  </w:t>
      </w:r>
    </w:p>
    <w:p>
      <w:pPr>
        <w:pStyle w:val="Normal"/>
        <w:tabs>
          <w:tab w:val="left" w:pos="720" w:leader="none"/>
          <w:tab w:val="left" w:pos="1080" w:leader="none"/>
          <w:tab w:val="left" w:pos="4320" w:leader="none"/>
        </w:tabs>
        <w:rPr/>
      </w:pPr>
      <w:r>
        <w:rPr>
          <w:sz w:val="28"/>
        </w:rPr>
        <w:tab/>
        <w:tab/>
        <w:tab/>
        <w:tab/>
        <w:tab/>
        <w:tab/>
        <w:t xml:space="preserve">     </w:t>
      </w:r>
      <w:r>
        <w:rPr>
          <w:b/>
          <w:sz w:val="28"/>
        </w:rPr>
        <w:t>Fortune 500</w:t>
      </w:r>
    </w:p>
    <w:p>
      <w:pPr>
        <w:pStyle w:val="Normal"/>
        <w:tabs>
          <w:tab w:val="left" w:pos="720" w:leader="none"/>
          <w:tab w:val="left" w:pos="1080" w:leader="none"/>
          <w:tab w:val="left" w:pos="4320" w:leader="none"/>
        </w:tabs>
        <w:rPr>
          <w:sz w:val="28"/>
        </w:rPr>
      </w:pPr>
      <w:r>
        <w:rPr>
          <w:sz w:val="28"/>
        </w:rPr>
        <w:tab/>
        <w:tab/>
        <w:tab/>
        <w:tab/>
      </w:r>
      <w:r>
        <w:rPr>
          <w:sz w:val="28"/>
          <w:u w:val="single"/>
        </w:rPr>
        <w:t>Year</w:t>
      </w:r>
      <w:r>
        <w:rPr>
          <w:sz w:val="28"/>
        </w:rPr>
        <w:tab/>
        <w:tab/>
      </w:r>
      <w:r>
        <w:rPr>
          <w:sz w:val="28"/>
          <w:u w:val="single"/>
        </w:rPr>
        <w:t>Revenue ($million)</w:t>
      </w:r>
      <w:r>
        <w:rPr>
          <w:sz w:val="28"/>
        </w:rPr>
        <w:tab/>
      </w:r>
      <w:r>
        <w:rPr>
          <w:sz w:val="28"/>
          <w:u w:val="single"/>
        </w:rPr>
        <w:t>Rank</w:t>
      </w:r>
    </w:p>
    <w:p>
      <w:pPr>
        <w:pStyle w:val="Normal"/>
        <w:rPr>
          <w:sz w:val="28"/>
        </w:rPr>
      </w:pPr>
      <w:r>
        <w:rPr>
          <w:sz w:val="28"/>
        </w:rPr>
        <w:tab/>
        <w:tab/>
        <w:tab/>
        <w:tab/>
        <w:tab/>
        <w:tab/>
        <w:tab/>
        <w:t>1999</w:t>
        <w:tab/>
        <w:tab/>
        <w:t xml:space="preserve">         40,112</w:t>
        <w:tab/>
        <w:tab/>
        <w:tab/>
        <w:t xml:space="preserve">  18</w:t>
      </w:r>
    </w:p>
    <w:p>
      <w:pPr>
        <w:pStyle w:val="Normal"/>
        <w:rPr>
          <w:sz w:val="28"/>
        </w:rPr>
      </w:pPr>
      <w:r>
        <w:rPr>
          <w:sz w:val="28"/>
        </w:rPr>
        <w:tab/>
        <w:tab/>
        <w:tab/>
        <w:tab/>
        <w:tab/>
        <w:tab/>
        <w:tab/>
        <w:t>1998</w:t>
        <w:tab/>
        <w:tab/>
        <w:t xml:space="preserve">         31,260</w:t>
        <w:tab/>
        <w:tab/>
        <w:tab/>
        <w:t xml:space="preserve">  27</w:t>
      </w:r>
    </w:p>
    <w:p>
      <w:pPr>
        <w:pStyle w:val="Normal"/>
        <w:rPr>
          <w:sz w:val="28"/>
        </w:rPr>
      </w:pPr>
      <w:r>
        <w:rPr>
          <w:sz w:val="28"/>
        </w:rPr>
        <w:tab/>
        <w:tab/>
        <w:tab/>
        <w:tab/>
        <w:tab/>
        <w:tab/>
        <w:tab/>
        <w:t>1997</w:t>
        <w:tab/>
        <w:tab/>
        <w:t xml:space="preserve">         20,273</w:t>
        <w:tab/>
        <w:tab/>
        <w:tab/>
        <w:t xml:space="preserve">  57</w:t>
      </w:r>
    </w:p>
    <w:p>
      <w:pPr>
        <w:pStyle w:val="Normal"/>
        <w:rPr>
          <w:sz w:val="28"/>
        </w:rPr>
      </w:pPr>
      <w:r>
        <w:rPr>
          <w:sz w:val="28"/>
        </w:rPr>
        <w:tab/>
        <w:tab/>
        <w:tab/>
        <w:tab/>
        <w:tab/>
        <w:tab/>
        <w:tab/>
        <w:t>1996</w:t>
        <w:tab/>
        <w:tab/>
        <w:t xml:space="preserve">         13,289</w:t>
        <w:tab/>
        <w:tab/>
        <w:tab/>
        <w:t xml:space="preserve">  94</w:t>
      </w:r>
    </w:p>
    <w:p>
      <w:pPr>
        <w:pStyle w:val="Normal"/>
        <w:rPr>
          <w:sz w:val="28"/>
        </w:rPr>
      </w:pPr>
      <w:r>
        <w:rPr>
          <w:sz w:val="28"/>
        </w:rPr>
        <w:tab/>
        <w:tab/>
        <w:tab/>
        <w:tab/>
        <w:tab/>
        <w:tab/>
        <w:tab/>
        <w:t>1995</w:t>
        <w:tab/>
        <w:tab/>
        <w:t xml:space="preserve">          9,189</w:t>
        <w:tab/>
        <w:tab/>
        <w:tab/>
        <w:t xml:space="preserve"> 141</w:t>
      </w:r>
    </w:p>
    <w:p>
      <w:pPr>
        <w:pStyle w:val="Normal"/>
        <w:tabs>
          <w:tab w:val="clear" w:pos="720"/>
          <w:tab w:val="left" w:pos="1080" w:leader="none"/>
          <w:tab w:val="decimal" w:pos="5040" w:leader="none"/>
        </w:tabs>
        <w:rPr>
          <w:sz w:val="28"/>
        </w:rPr>
      </w:pPr>
      <w:r>
        <w:rPr>
          <w:sz w:val="28"/>
        </w:rPr>
        <w:tab/>
        <w:tab/>
        <w:t xml:space="preserve">                                                         1994</w:t>
        <w:tab/>
        <w:tab/>
        <w:tab/>
        <w:t>8,984</w:t>
        <w:tab/>
        <w:tab/>
        <w:tab/>
        <w:t xml:space="preserve"> 129</w:t>
      </w:r>
      <w:r>
        <w:br w:type="page"/>
      </w:r>
    </w:p>
    <w:p>
      <w:pPr>
        <w:pStyle w:val="Normal"/>
        <w:jc w:val="center"/>
        <w:rPr>
          <w:b/>
          <w:sz w:val="32"/>
        </w:rPr>
      </w:pPr>
      <w:r>
        <w:rPr>
          <w:b/>
          <w:sz w:val="32"/>
        </w:rPr>
        <w:t>Price Earnings Ratios</w:t>
      </w:r>
    </w:p>
    <w:p>
      <w:pPr>
        <w:pStyle w:val="Normal"/>
        <w:tabs>
          <w:tab w:val="clear" w:pos="720"/>
          <w:tab w:val="left" w:pos="1080" w:leader="none"/>
          <w:tab w:val="decimal" w:pos="5040" w:leader="none"/>
        </w:tabs>
        <w:jc w:val="center"/>
        <w:rPr>
          <w:b/>
          <w:sz w:val="32"/>
        </w:rPr>
      </w:pPr>
      <w:r>
        <w:rPr>
          <w:b/>
          <w:sz w:val="32"/>
        </w:rPr>
        <w:t>Enron vs. Peer Groups</w:t>
      </w:r>
    </w:p>
    <w:p>
      <w:pPr>
        <w:pStyle w:val="Normal"/>
        <w:tabs>
          <w:tab w:val="clear" w:pos="720"/>
          <w:tab w:val="left" w:pos="1080" w:leader="none"/>
          <w:tab w:val="decimal" w:pos="5040" w:leader="none"/>
        </w:tabs>
        <w:rPr>
          <w:b/>
          <w:sz w:val="32"/>
        </w:rPr>
      </w:pPr>
      <w:r>
        <w:rPr>
          <w:b/>
          <w:sz w:val="32"/>
        </w:rPr>
      </w:r>
    </w:p>
    <w:p>
      <w:pPr>
        <w:pStyle w:val="Normal"/>
        <w:tabs>
          <w:tab w:val="clear" w:pos="720"/>
          <w:tab w:val="left" w:pos="1080" w:leader="none"/>
          <w:tab w:val="decimal" w:pos="5040" w:leader="none"/>
        </w:tabs>
        <w:rPr>
          <w:sz w:val="32"/>
        </w:rPr>
      </w:pPr>
      <w:r>
        <w:rPr>
          <w:sz w:val="32"/>
        </w:rPr>
      </w:r>
    </w:p>
    <w:p>
      <w:pPr>
        <w:pStyle w:val="Normal"/>
        <w:tabs>
          <w:tab w:val="clear" w:pos="720"/>
          <w:tab w:val="left" w:pos="1080" w:leader="none"/>
          <w:tab w:val="decimal" w:pos="5040" w:leader="none"/>
        </w:tabs>
        <w:rPr>
          <w:sz w:val="32"/>
        </w:rPr>
      </w:pPr>
      <w:r>
        <w:rPr>
          <w:sz w:val="32"/>
        </w:rPr>
      </w:r>
    </w:p>
    <w:p>
      <w:pPr>
        <w:pStyle w:val="Normal"/>
        <w:numPr>
          <w:ilvl w:val="0"/>
          <w:numId w:val="6"/>
        </w:numPr>
        <w:tabs>
          <w:tab w:val="clear" w:pos="720"/>
          <w:tab w:val="left" w:pos="1080" w:leader="none"/>
          <w:tab w:val="decimal" w:pos="5040" w:leader="none"/>
        </w:tabs>
        <w:rPr>
          <w:sz w:val="28"/>
        </w:rPr>
      </w:pPr>
      <w:r>
        <w:rPr>
          <w:sz w:val="28"/>
        </w:rPr>
        <w:t>Enron’s P/E ratio is a staggering 61.7.  It surpasses the average P/E ratio for both of our peer groups; energy and communications</w:t>
      </w:r>
    </w:p>
    <w:p>
      <w:pPr>
        <w:pStyle w:val="Normal"/>
        <w:tabs>
          <w:tab w:val="clear" w:pos="720"/>
          <w:tab w:val="left" w:pos="1080" w:leader="none"/>
          <w:tab w:val="decimal" w:pos="5040" w:leader="none"/>
        </w:tabs>
        <w:rPr>
          <w:sz w:val="28"/>
        </w:rPr>
      </w:pPr>
      <w:r>
        <w:rPr>
          <w:sz w:val="28"/>
        </w:rPr>
      </w:r>
    </w:p>
    <w:p>
      <w:pPr>
        <w:pStyle w:val="Normal"/>
        <w:tabs>
          <w:tab w:val="clear" w:pos="720"/>
          <w:tab w:val="left" w:pos="1080" w:leader="none"/>
          <w:tab w:val="decimal" w:pos="5040" w:leader="none"/>
        </w:tabs>
        <w:rPr>
          <w:sz w:val="28"/>
        </w:rPr>
      </w:pPr>
      <w:r>
        <w:rPr>
          <w:sz w:val="28"/>
        </w:rPr>
      </w:r>
    </w:p>
    <w:p>
      <w:pPr>
        <w:pStyle w:val="Normal"/>
        <w:tabs>
          <w:tab w:val="clear" w:pos="720"/>
          <w:tab w:val="left" w:pos="1080" w:leader="none"/>
          <w:tab w:val="decimal" w:pos="5040" w:leader="none"/>
        </w:tabs>
        <w:rPr>
          <w:sz w:val="28"/>
        </w:rPr>
      </w:pPr>
      <w:r>
        <w:rPr>
          <w:sz w:val="28"/>
        </w:rPr>
      </w:r>
    </w:p>
    <w:p>
      <w:pPr>
        <w:pStyle w:val="Normal"/>
        <w:numPr>
          <w:ilvl w:val="0"/>
          <w:numId w:val="6"/>
        </w:numPr>
        <w:tabs>
          <w:tab w:val="clear" w:pos="720"/>
          <w:tab w:val="left" w:pos="1080" w:leader="none"/>
          <w:tab w:val="decimal" w:pos="5040" w:leader="none"/>
        </w:tabs>
        <w:rPr>
          <w:sz w:val="28"/>
        </w:rPr>
      </w:pPr>
      <w:r>
        <w:rPr>
          <w:sz w:val="28"/>
        </w:rPr>
        <w:t>Work from slide</w:t>
      </w:r>
    </w:p>
    <w:p>
      <w:pPr>
        <w:pStyle w:val="Normal"/>
        <w:tabs>
          <w:tab w:val="clear" w:pos="720"/>
          <w:tab w:val="left" w:pos="1080" w:leader="none"/>
          <w:tab w:val="decimal" w:pos="5040" w:leader="none"/>
        </w:tabs>
        <w:rPr>
          <w:sz w:val="28"/>
        </w:rPr>
      </w:pPr>
      <w:r>
        <w:rPr>
          <w:sz w:val="28"/>
        </w:rPr>
      </w:r>
      <w:r>
        <w:br w:type="page"/>
      </w:r>
    </w:p>
    <w:p>
      <w:pPr>
        <w:pStyle w:val="Normal"/>
        <w:jc w:val="center"/>
        <w:rPr>
          <w:b/>
          <w:sz w:val="32"/>
        </w:rPr>
      </w:pPr>
      <w:r>
        <w:rPr>
          <w:b/>
          <w:sz w:val="32"/>
        </w:rPr>
        <w:t>Enron Organization Chart</w:t>
      </w:r>
    </w:p>
    <w:p>
      <w:pPr>
        <w:pStyle w:val="Normal"/>
        <w:rPr>
          <w:b/>
          <w:sz w:val="28"/>
        </w:rPr>
      </w:pPr>
      <w:r>
        <w:rPr>
          <w:b/>
          <w:sz w:val="28"/>
        </w:rPr>
      </w:r>
    </w:p>
    <w:p>
      <w:pPr>
        <w:pStyle w:val="Normal"/>
        <w:rPr>
          <w:sz w:val="28"/>
        </w:rPr>
      </w:pPr>
      <w:r>
        <w:rPr>
          <w:sz w:val="28"/>
        </w:rPr>
      </w:r>
    </w:p>
    <w:p>
      <w:pPr>
        <w:pStyle w:val="Normal"/>
        <w:rPr>
          <w:sz w:val="28"/>
        </w:rPr>
      </w:pPr>
      <w:r>
        <w:rPr>
          <w:sz w:val="28"/>
        </w:rPr>
      </w:r>
    </w:p>
    <w:p>
      <w:pPr>
        <w:pStyle w:val="BodyText3"/>
        <w:numPr>
          <w:ilvl w:val="0"/>
          <w:numId w:val="14"/>
        </w:numPr>
        <w:rPr/>
      </w:pPr>
      <w:r>
        <w:rPr/>
        <w:t>To your left, “Transportation and Distribution” is basically the natural gas pipeline network of the 1980s, along with an electricity distribution company that we are in the process of selling.  These are mature businesses, most of which are still regulated as public utilities.</w:t>
      </w:r>
    </w:p>
    <w:p>
      <w:pPr>
        <w:pStyle w:val="Normal"/>
        <w:rPr>
          <w:sz w:val="28"/>
        </w:rPr>
      </w:pPr>
      <w:r>
        <w:rPr>
          <w:sz w:val="28"/>
        </w:rPr>
      </w:r>
    </w:p>
    <w:p>
      <w:pPr>
        <w:pStyle w:val="Normal"/>
        <w:rPr>
          <w:sz w:val="28"/>
        </w:rPr>
      </w:pPr>
      <w:r>
        <w:rPr>
          <w:sz w:val="28"/>
        </w:rPr>
      </w:r>
    </w:p>
    <w:p>
      <w:pPr>
        <w:pStyle w:val="Normal"/>
        <w:numPr>
          <w:ilvl w:val="0"/>
          <w:numId w:val="14"/>
        </w:numPr>
        <w:rPr>
          <w:sz w:val="28"/>
        </w:rPr>
      </w:pPr>
      <w:r>
        <w:rPr>
          <w:sz w:val="28"/>
        </w:rPr>
        <w:t>To the right are four major new areas of Enron  [work from slide]</w:t>
      </w:r>
    </w:p>
    <w:p>
      <w:pPr>
        <w:pStyle w:val="Normal"/>
        <w:rPr>
          <w:sz w:val="28"/>
        </w:rPr>
      </w:pPr>
      <w:r>
        <w:rPr>
          <w:sz w:val="28"/>
        </w:rPr>
      </w:r>
    </w:p>
    <w:p>
      <w:pPr>
        <w:pStyle w:val="Normal"/>
        <w:rPr>
          <w:sz w:val="28"/>
        </w:rPr>
      </w:pPr>
      <w:r>
        <w:rPr>
          <w:sz w:val="28"/>
        </w:rPr>
      </w:r>
    </w:p>
    <w:p>
      <w:pPr>
        <w:pStyle w:val="Normal"/>
        <w:numPr>
          <w:ilvl w:val="0"/>
          <w:numId w:val="53"/>
        </w:numPr>
        <w:rPr>
          <w:sz w:val="28"/>
        </w:rPr>
      </w:pPr>
      <w:r>
        <w:rPr>
          <w:sz w:val="28"/>
        </w:rPr>
        <w:t>The newest major business line for Enron is Net Works:</w:t>
      </w:r>
    </w:p>
    <w:p>
      <w:pPr>
        <w:pStyle w:val="Normal"/>
        <w:rPr>
          <w:sz w:val="28"/>
        </w:rPr>
      </w:pPr>
      <w:r>
        <w:rPr>
          <w:sz w:val="28"/>
        </w:rPr>
      </w:r>
    </w:p>
    <w:p>
      <w:pPr>
        <w:pStyle w:val="Normal"/>
        <w:tabs>
          <w:tab w:val="clear" w:pos="720"/>
          <w:tab w:val="left" w:pos="900" w:leader="none"/>
          <w:tab w:val="left" w:pos="1440" w:leader="none"/>
        </w:tabs>
        <w:ind w:start="432" w:end="0"/>
        <w:rPr>
          <w:sz w:val="28"/>
        </w:rPr>
      </w:pPr>
      <w:r>
        <w:rPr>
          <w:sz w:val="28"/>
        </w:rPr>
        <w:tab/>
        <w:t>-</w:t>
        <w:tab/>
        <w:t>The connectivity of our networks allows us to gather a massive amount of detail about our markets.</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start="432" w:end="0"/>
        <w:rPr>
          <w:sz w:val="28"/>
        </w:rPr>
      </w:pPr>
      <w:r>
        <w:rPr>
          <w:sz w:val="28"/>
        </w:rPr>
        <w:tab/>
        <w:t>-</w:t>
        <w:tab/>
        <w:t>This provides instant market snapshots and identifies underlying trends.</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start="432" w:end="0"/>
        <w:rPr>
          <w:sz w:val="28"/>
        </w:rPr>
      </w:pPr>
      <w:r>
        <w:rPr>
          <w:sz w:val="28"/>
        </w:rPr>
        <w:tab/>
        <w:t>-</w:t>
        <w:tab/>
        <w:t>This information is available to and accessible by all Enron marketers and originators worldwide</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hanging="288" w:start="720" w:end="0"/>
        <w:rPr>
          <w:sz w:val="28"/>
        </w:rPr>
      </w:pPr>
      <w:r>
        <w:rPr>
          <w:sz w:val="28"/>
        </w:rPr>
        <w:tab/>
        <w:tab/>
        <w:t>-</w:t>
        <w:tab/>
        <w:t xml:space="preserve">Our goal:  Ensuring we make informed and timely moves and spot opportunities at the first            </w:t>
      </w:r>
    </w:p>
    <w:p>
      <w:pPr>
        <w:pStyle w:val="Header"/>
        <w:tabs>
          <w:tab w:val="clear" w:pos="4320"/>
          <w:tab w:val="clear" w:pos="8640"/>
        </w:tabs>
        <w:rPr>
          <w:sz w:val="28"/>
        </w:rPr>
      </w:pPr>
      <w:r>
        <w:rPr>
          <w:sz w:val="28"/>
        </w:rPr>
        <w:tab/>
        <w:tab/>
        <w:tab/>
        <w:t>possible moment.</w:t>
      </w:r>
    </w:p>
    <w:p>
      <w:pPr>
        <w:pStyle w:val="Normal"/>
        <w:tabs>
          <w:tab w:val="clear" w:pos="720"/>
          <w:tab w:val="left" w:pos="1080" w:leader="none"/>
          <w:tab w:val="decimal" w:pos="5040" w:leader="none"/>
        </w:tabs>
        <w:rPr>
          <w:sz w:val="28"/>
        </w:rPr>
      </w:pPr>
      <w:r>
        <w:rPr>
          <w:sz w:val="28"/>
        </w:rPr>
      </w:r>
      <w:r>
        <w:br w:type="page"/>
      </w:r>
    </w:p>
    <w:p>
      <w:pPr>
        <w:pStyle w:val="Normal"/>
        <w:jc w:val="center"/>
        <w:rPr>
          <w:b/>
          <w:sz w:val="32"/>
        </w:rPr>
      </w:pPr>
      <w:r>
        <w:rPr>
          <w:b/>
          <w:sz w:val="32"/>
        </w:rPr>
        <w:t>Transportation and Distribution</w:t>
      </w:r>
    </w:p>
    <w:p>
      <w:pPr>
        <w:pStyle w:val="Normal"/>
        <w:jc w:val="center"/>
        <w:rPr>
          <w:b/>
          <w:sz w:val="32"/>
        </w:rPr>
      </w:pPr>
      <w:r>
        <w:rPr>
          <w:b/>
          <w:sz w:val="32"/>
        </w:rPr>
      </w:r>
    </w:p>
    <w:p>
      <w:pPr>
        <w:pStyle w:val="Normal"/>
        <w:jc w:val="center"/>
        <w:rPr>
          <w:b/>
          <w:sz w:val="32"/>
        </w:rPr>
      </w:pPr>
      <w:r>
        <w:rPr>
          <w:b/>
          <w:sz w:val="32"/>
        </w:rPr>
      </w:r>
    </w:p>
    <w:p>
      <w:pPr>
        <w:pStyle w:val="BodyText"/>
        <w:numPr>
          <w:ilvl w:val="0"/>
          <w:numId w:val="61"/>
        </w:numPr>
        <w:ind w:hanging="360" w:start="360" w:end="450"/>
        <w:rPr>
          <w:sz w:val="28"/>
        </w:rPr>
      </w:pPr>
      <w:r>
        <w:rPr>
          <w:sz w:val="28"/>
        </w:rPr>
        <w:t>Enron’s oldest business.  Transportation and distribution used to comprise 80% of Enron’s revenue – now, although revenue from T&amp;D has more than doubled over the past 10 years, it comprises only about 20% of Enron’s revenue.</w:t>
      </w:r>
    </w:p>
    <w:p>
      <w:pPr>
        <w:pStyle w:val="BodyText"/>
        <w:ind w:end="450"/>
        <w:rPr>
          <w:sz w:val="28"/>
        </w:rPr>
      </w:pPr>
      <w:r>
        <w:rPr>
          <w:sz w:val="28"/>
        </w:rPr>
      </w:r>
    </w:p>
    <w:p>
      <w:pPr>
        <w:pStyle w:val="BodyText"/>
        <w:ind w:end="450"/>
        <w:rPr>
          <w:sz w:val="28"/>
        </w:rPr>
      </w:pPr>
      <w:r>
        <w:rPr>
          <w:sz w:val="28"/>
        </w:rPr>
      </w:r>
    </w:p>
    <w:p>
      <w:pPr>
        <w:pStyle w:val="BodyText"/>
        <w:numPr>
          <w:ilvl w:val="0"/>
          <w:numId w:val="61"/>
        </w:numPr>
        <w:ind w:hanging="360" w:start="360" w:end="450"/>
        <w:rPr>
          <w:sz w:val="28"/>
        </w:rPr>
      </w:pPr>
      <w:r>
        <w:rPr>
          <w:sz w:val="28"/>
        </w:rPr>
        <w:t>We own and operate approximately</w:t>
      </w:r>
      <w:r>
        <w:rPr>
          <w:i/>
          <w:sz w:val="28"/>
        </w:rPr>
        <w:t xml:space="preserve"> </w:t>
      </w:r>
      <w:r>
        <w:rPr>
          <w:sz w:val="28"/>
        </w:rPr>
        <w:t>32,000 miles of natural gas pipelines throughout the U.S.  These pipelines serve customers in 21 states, transport approximately 15% of U.S. natural gas demand, and have a total throughput of 9,200 BBtu per day.  (BBtu = Billion British Thermal Units – approximately the same amount of cubic feet)</w:t>
      </w:r>
    </w:p>
    <w:p>
      <w:pPr>
        <w:pStyle w:val="BodyText"/>
        <w:ind w:end="450"/>
        <w:rPr>
          <w:sz w:val="28"/>
          <w:u w:val="single"/>
        </w:rPr>
      </w:pPr>
      <w:r>
        <w:rPr>
          <w:sz w:val="28"/>
          <w:u w:val="single"/>
        </w:rPr>
      </w:r>
    </w:p>
    <w:p>
      <w:pPr>
        <w:pStyle w:val="BodyText"/>
        <w:ind w:end="450"/>
        <w:rPr>
          <w:sz w:val="28"/>
          <w:u w:val="single"/>
        </w:rPr>
      </w:pPr>
      <w:r>
        <w:rPr>
          <w:sz w:val="28"/>
          <w:u w:val="single"/>
        </w:rPr>
      </w:r>
    </w:p>
    <w:p>
      <w:pPr>
        <w:pStyle w:val="BodyText"/>
        <w:numPr>
          <w:ilvl w:val="0"/>
          <w:numId w:val="17"/>
        </w:numPr>
        <w:ind w:hanging="360" w:start="360" w:end="450"/>
        <w:rPr>
          <w:sz w:val="28"/>
        </w:rPr>
      </w:pPr>
      <w:r>
        <w:rPr>
          <w:sz w:val="28"/>
        </w:rPr>
        <w:t>Enron’s 4 major interstate pipelines:</w:t>
      </w:r>
    </w:p>
    <w:p>
      <w:pPr>
        <w:pStyle w:val="BodyText"/>
        <w:ind w:end="450"/>
        <w:rPr>
          <w:sz w:val="28"/>
        </w:rPr>
      </w:pPr>
      <w:r>
        <w:rPr>
          <w:sz w:val="28"/>
        </w:rPr>
      </w:r>
    </w:p>
    <w:p>
      <w:pPr>
        <w:pStyle w:val="BodyText"/>
        <w:numPr>
          <w:ilvl w:val="0"/>
          <w:numId w:val="20"/>
        </w:numPr>
        <w:ind w:hanging="360" w:start="720" w:end="450"/>
        <w:rPr>
          <w:sz w:val="28"/>
        </w:rPr>
      </w:pPr>
      <w:r>
        <w:rPr>
          <w:sz w:val="28"/>
        </w:rPr>
        <w:t>Northern Natural Gas – West Texas to Michigan Upper Peninsula – 16,463 miles</w:t>
      </w:r>
    </w:p>
    <w:p>
      <w:pPr>
        <w:pStyle w:val="BodyText"/>
        <w:numPr>
          <w:ilvl w:val="0"/>
          <w:numId w:val="20"/>
        </w:numPr>
        <w:ind w:hanging="360" w:start="720" w:end="450"/>
        <w:rPr>
          <w:sz w:val="28"/>
        </w:rPr>
      </w:pPr>
      <w:r>
        <w:rPr>
          <w:sz w:val="28"/>
        </w:rPr>
        <w:t>Transwestern Pipeline – West Texas to California border – 2,487 miles</w:t>
      </w:r>
    </w:p>
    <w:p>
      <w:pPr>
        <w:pStyle w:val="BodyText"/>
        <w:numPr>
          <w:ilvl w:val="0"/>
          <w:numId w:val="20"/>
        </w:numPr>
        <w:ind w:hanging="360" w:start="720" w:end="450"/>
        <w:rPr>
          <w:sz w:val="28"/>
        </w:rPr>
      </w:pPr>
      <w:r>
        <w:rPr>
          <w:sz w:val="28"/>
        </w:rPr>
        <w:t>Florida Gas Transmission – Mid-Texas Coastline to Southern Florida – 4,795 miles</w:t>
      </w:r>
    </w:p>
    <w:p>
      <w:pPr>
        <w:pStyle w:val="BodyText"/>
        <w:numPr>
          <w:ilvl w:val="0"/>
          <w:numId w:val="20"/>
        </w:numPr>
        <w:ind w:hanging="360" w:start="720" w:end="450"/>
        <w:rPr>
          <w:sz w:val="28"/>
        </w:rPr>
      </w:pPr>
      <w:r>
        <w:rPr>
          <w:sz w:val="28"/>
        </w:rPr>
        <w:t>Northern Border Pipeline – Canadian border in Montana to Illinois – 1,214 miles</w:t>
      </w:r>
    </w:p>
    <w:p>
      <w:pPr>
        <w:pStyle w:val="BodyText"/>
        <w:ind w:end="450"/>
        <w:rPr>
          <w:sz w:val="28"/>
        </w:rPr>
      </w:pPr>
      <w:r>
        <w:rPr>
          <w:sz w:val="28"/>
        </w:rPr>
      </w:r>
    </w:p>
    <w:p>
      <w:pPr>
        <w:pStyle w:val="BodyText"/>
        <w:ind w:end="450"/>
        <w:rPr>
          <w:sz w:val="28"/>
        </w:rPr>
      </w:pPr>
      <w:r>
        <w:rPr>
          <w:sz w:val="28"/>
        </w:rPr>
      </w:r>
    </w:p>
    <w:p>
      <w:pPr>
        <w:pStyle w:val="BodyText"/>
        <w:numPr>
          <w:ilvl w:val="0"/>
          <w:numId w:val="50"/>
        </w:numPr>
        <w:ind w:hanging="360" w:start="360" w:end="450"/>
        <w:rPr>
          <w:sz w:val="28"/>
        </w:rPr>
      </w:pPr>
      <w:r>
        <w:rPr>
          <w:sz w:val="28"/>
        </w:rPr>
        <w:t>A valuable part of Enron’s balance sheet as they represent the backbone to our natural gas networks and provide recurring earnings through their capacity demand charges.</w:t>
      </w:r>
    </w:p>
    <w:p>
      <w:pPr>
        <w:pStyle w:val="BodyText"/>
        <w:ind w:end="450"/>
        <w:rPr>
          <w:sz w:val="28"/>
        </w:rPr>
      </w:pPr>
      <w:r>
        <w:rPr>
          <w:sz w:val="28"/>
        </w:rPr>
      </w:r>
      <w:r>
        <w:br w:type="page"/>
      </w:r>
    </w:p>
    <w:p>
      <w:pPr>
        <w:pStyle w:val="Normal"/>
        <w:jc w:val="center"/>
        <w:rPr>
          <w:b/>
          <w:sz w:val="32"/>
        </w:rPr>
      </w:pPr>
      <w:r>
        <w:rPr>
          <w:b/>
          <w:sz w:val="32"/>
        </w:rPr>
        <w:t>Enron's Network Model</w:t>
        <w:br/>
      </w:r>
    </w:p>
    <w:p>
      <w:pPr>
        <w:pStyle w:val="Normal"/>
        <w:jc w:val="center"/>
        <w:rPr>
          <w:b/>
          <w:sz w:val="32"/>
        </w:rPr>
      </w:pPr>
      <w:r>
        <w:rPr>
          <w:b/>
          <w:sz w:val="32"/>
        </w:rPr>
      </w:r>
    </w:p>
    <w:p>
      <w:pPr>
        <w:pStyle w:val="Normal"/>
        <w:numPr>
          <w:ilvl w:val="0"/>
          <w:numId w:val="47"/>
        </w:numPr>
        <w:rPr>
          <w:sz w:val="28"/>
        </w:rPr>
      </w:pPr>
      <w:r>
        <w:rPr>
          <w:sz w:val="28"/>
        </w:rPr>
        <w:t>This is the model that Enron has followed (or in some sense created) in the last decade in the natural gas and electricity markets</w:t>
      </w:r>
    </w:p>
    <w:p>
      <w:pPr>
        <w:pStyle w:val="Normal"/>
        <w:rPr>
          <w:sz w:val="28"/>
        </w:rPr>
      </w:pPr>
      <w:r>
        <w:rPr>
          <w:sz w:val="28"/>
        </w:rPr>
      </w:r>
    </w:p>
    <w:p>
      <w:pPr>
        <w:pStyle w:val="Normal"/>
        <w:numPr>
          <w:ilvl w:val="0"/>
          <w:numId w:val="74"/>
        </w:numPr>
        <w:rPr>
          <w:sz w:val="28"/>
        </w:rPr>
      </w:pPr>
      <w:r>
        <w:rPr>
          <w:sz w:val="28"/>
        </w:rPr>
        <w:t xml:space="preserve">Networks begin with physical </w:t>
      </w:r>
      <w:r>
        <w:rPr>
          <w:sz w:val="28"/>
          <w:u w:val="single"/>
        </w:rPr>
        <w:t>infrastructure</w:t>
      </w:r>
      <w:r>
        <w:rPr>
          <w:sz w:val="28"/>
        </w:rPr>
        <w:t xml:space="preserve">.  </w:t>
      </w:r>
    </w:p>
    <w:p>
      <w:pPr>
        <w:pStyle w:val="Normal"/>
        <w:rPr>
          <w:sz w:val="28"/>
        </w:rPr>
      </w:pPr>
      <w:r>
        <w:rPr>
          <w:sz w:val="28"/>
        </w:rPr>
      </w:r>
    </w:p>
    <w:p>
      <w:pPr>
        <w:pStyle w:val="Normal"/>
        <w:numPr>
          <w:ilvl w:val="0"/>
          <w:numId w:val="74"/>
        </w:numPr>
        <w:rPr>
          <w:sz w:val="28"/>
        </w:rPr>
      </w:pPr>
      <w:r>
        <w:rPr>
          <w:sz w:val="28"/>
        </w:rPr>
        <w:t xml:space="preserve">Once the infrastructure is in place, all parties need to have </w:t>
      </w:r>
      <w:r>
        <w:rPr>
          <w:sz w:val="28"/>
          <w:u w:val="single"/>
        </w:rPr>
        <w:t>contractual access to the physical infrastructure</w:t>
      </w:r>
      <w:r>
        <w:rPr>
          <w:sz w:val="28"/>
        </w:rPr>
        <w:t xml:space="preserve">, which creates a </w:t>
      </w:r>
      <w:r>
        <w:rPr>
          <w:sz w:val="28"/>
          <w:u w:val="single"/>
        </w:rPr>
        <w:t>network platform for market making</w:t>
      </w:r>
      <w:r>
        <w:rPr>
          <w:sz w:val="28"/>
        </w:rPr>
        <w:t>.</w:t>
      </w:r>
    </w:p>
    <w:p>
      <w:pPr>
        <w:pStyle w:val="Normal"/>
        <w:rPr>
          <w:sz w:val="28"/>
        </w:rPr>
      </w:pPr>
      <w:r>
        <w:rPr>
          <w:sz w:val="28"/>
        </w:rPr>
      </w:r>
    </w:p>
    <w:p>
      <w:pPr>
        <w:pStyle w:val="Normal"/>
        <w:numPr>
          <w:ilvl w:val="0"/>
          <w:numId w:val="9"/>
        </w:numPr>
        <w:tabs>
          <w:tab w:val="clear" w:pos="720"/>
          <w:tab w:val="left" w:pos="1080" w:leader="none"/>
          <w:tab w:val="left" w:pos="1620" w:leader="none"/>
        </w:tabs>
        <w:spacing w:lineRule="exact" w:line="380"/>
        <w:rPr>
          <w:sz w:val="28"/>
        </w:rPr>
      </w:pPr>
      <w:r>
        <w:rPr>
          <w:sz w:val="28"/>
        </w:rPr>
        <w:t>Market-making applications that Enron is active in are shown at the top [work from slide].  Interplay of trading capabilities, strategic assets, and bundled services</w:t>
      </w:r>
    </w:p>
    <w:p>
      <w:pPr>
        <w:pStyle w:val="BodyText3"/>
        <w:tabs>
          <w:tab w:val="clear" w:pos="720"/>
          <w:tab w:val="left" w:pos="900" w:leader="none"/>
          <w:tab w:val="left" w:pos="1440" w:leader="none"/>
        </w:tabs>
        <w:rPr>
          <w:sz w:val="28"/>
        </w:rPr>
      </w:pPr>
      <w:r>
        <w:rPr>
          <w:sz w:val="28"/>
        </w:rPr>
      </w:r>
    </w:p>
    <w:p>
      <w:pPr>
        <w:pStyle w:val="BodyText3"/>
        <w:numPr>
          <w:ilvl w:val="0"/>
          <w:numId w:val="18"/>
        </w:numPr>
        <w:tabs>
          <w:tab w:val="clear" w:pos="720"/>
          <w:tab w:val="left" w:pos="900" w:leader="none"/>
          <w:tab w:val="left" w:pos="1440" w:leader="none"/>
        </w:tabs>
        <w:rPr/>
      </w:pPr>
      <w:r>
        <w:rPr/>
        <w:t>This business model, has led to extensions of our capabilities into many different markets</w:t>
      </w:r>
    </w:p>
    <w:p>
      <w:pPr>
        <w:pStyle w:val="BodyText3"/>
        <w:tabs>
          <w:tab w:val="clear" w:pos="720"/>
          <w:tab w:val="left" w:pos="900" w:leader="none"/>
          <w:tab w:val="left" w:pos="1440" w:leader="none"/>
        </w:tabs>
        <w:rPr/>
      </w:pPr>
      <w:r>
        <w:rPr/>
      </w:r>
    </w:p>
    <w:p>
      <w:pPr>
        <w:pStyle w:val="BodyText3"/>
        <w:tabs>
          <w:tab w:val="clear" w:pos="720"/>
          <w:tab w:val="left" w:pos="900" w:leader="none"/>
          <w:tab w:val="left" w:pos="1440" w:leader="none"/>
        </w:tabs>
        <w:rPr/>
      </w:pPr>
      <w:r>
        <w:rPr/>
      </w:r>
    </w:p>
    <w:p>
      <w:pPr>
        <w:pStyle w:val="BodyText3"/>
        <w:tabs>
          <w:tab w:val="clear" w:pos="720"/>
          <w:tab w:val="left" w:pos="900" w:leader="none"/>
          <w:tab w:val="left" w:pos="1440" w:leader="none"/>
          <w:tab w:val="left" w:pos="5220" w:leader="none"/>
        </w:tabs>
        <w:ind w:start="4680" w:end="0"/>
        <w:rPr>
          <w:sz w:val="26"/>
          <w:u w:val="single"/>
        </w:rPr>
      </w:pPr>
      <w:r>
        <w:rPr>
          <w:sz w:val="26"/>
          <w:u w:val="single"/>
        </w:rPr>
        <w:t>Trading applications</w:t>
      </w:r>
    </w:p>
    <w:p>
      <w:pPr>
        <w:pStyle w:val="BodyText3"/>
        <w:tabs>
          <w:tab w:val="clear" w:pos="720"/>
          <w:tab w:val="left" w:pos="900" w:leader="none"/>
          <w:tab w:val="left" w:pos="1440" w:leader="none"/>
          <w:tab w:val="left" w:pos="5130" w:leader="none"/>
        </w:tabs>
        <w:ind w:start="4680" w:end="0"/>
        <w:rPr>
          <w:sz w:val="26"/>
        </w:rPr>
      </w:pPr>
      <w:r>
        <w:rPr>
          <w:sz w:val="26"/>
        </w:rPr>
        <w:t>Oil, oil products, gas liquids (1985-)</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Natural gas (1985)</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Electricity (1994)</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Coal (1997)</w:t>
      </w:r>
    </w:p>
    <w:p>
      <w:pPr>
        <w:pStyle w:val="BodyText3"/>
        <w:tabs>
          <w:tab w:val="clear" w:pos="720"/>
          <w:tab w:val="left" w:pos="900" w:leader="none"/>
          <w:tab w:val="left" w:pos="1440" w:leader="none"/>
          <w:tab w:val="left" w:pos="5130" w:leader="none"/>
          <w:tab w:val="left" w:pos="5940" w:leader="none"/>
        </w:tabs>
        <w:ind w:start="4680" w:end="-630"/>
        <w:rPr/>
      </w:pPr>
      <w:r>
        <w:rPr>
          <w:sz w:val="26"/>
        </w:rPr>
        <w:t>Emissions -- sulfur dioxide [SO</w:t>
      </w:r>
      <w:r>
        <w:rPr>
          <w:sz w:val="26"/>
          <w:vertAlign w:val="subscript"/>
        </w:rPr>
        <w:t>2</w:t>
      </w:r>
      <w:r>
        <w:rPr>
          <w:sz w:val="26"/>
        </w:rPr>
        <w:t>] and nitrogen oxide [NO</w:t>
      </w:r>
      <w:r>
        <w:rPr>
          <w:sz w:val="26"/>
          <w:vertAlign w:val="subscript"/>
        </w:rPr>
        <w:t>X</w:t>
      </w:r>
      <w:r>
        <w:rPr>
          <w:sz w:val="26"/>
        </w:rPr>
        <w:t>] (1997)</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Weather derivatives (1997)</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Bandwidth (1999)</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Pulp and paper (1997)</w:t>
      </w:r>
    </w:p>
    <w:p>
      <w:pPr>
        <w:pStyle w:val="Normal"/>
        <w:ind w:firstLine="720" w:start="3960" w:end="0"/>
        <w:rPr>
          <w:sz w:val="26"/>
        </w:rPr>
      </w:pPr>
      <w:r>
        <w:rPr>
          <w:sz w:val="26"/>
        </w:rPr>
        <w:t>Metals (2000)</w:t>
      </w:r>
      <w:r>
        <w:br w:type="page"/>
      </w:r>
    </w:p>
    <w:p>
      <w:pPr>
        <w:pStyle w:val="Normal"/>
        <w:tabs>
          <w:tab w:val="clear" w:pos="720"/>
          <w:tab w:val="decimal" w:pos="7110" w:leader="none"/>
        </w:tabs>
        <w:jc w:val="center"/>
        <w:rPr>
          <w:b/>
          <w:sz w:val="32"/>
        </w:rPr>
      </w:pPr>
      <w:r>
        <w:rPr>
          <w:b/>
          <w:sz w:val="32"/>
        </w:rPr>
        <w:t>Energy Customization</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numPr>
          <w:ilvl w:val="0"/>
          <w:numId w:val="54"/>
        </w:numPr>
        <w:tabs>
          <w:tab w:val="clear" w:pos="720"/>
          <w:tab w:val="decimal" w:pos="7110" w:leader="none"/>
        </w:tabs>
        <w:rPr>
          <w:sz w:val="28"/>
        </w:rPr>
      </w:pPr>
      <w:r>
        <w:rPr>
          <w:sz w:val="28"/>
        </w:rPr>
        <w:t>A distinguishing feature of the New Economy is "Mass Customization" -- applying information technology to lower the cost of produced, pre-packaged or pre-arranged products according to each buyer's needs</w:t>
        <w:br/>
      </w:r>
    </w:p>
    <w:p>
      <w:pPr>
        <w:pStyle w:val="Normal"/>
        <w:numPr>
          <w:ilvl w:val="0"/>
          <w:numId w:val="40"/>
        </w:numPr>
        <w:tabs>
          <w:tab w:val="clear" w:pos="720"/>
          <w:tab w:val="decimal" w:pos="7110" w:leader="none"/>
        </w:tabs>
        <w:rPr>
          <w:sz w:val="28"/>
        </w:rPr>
      </w:pPr>
      <w:r>
        <w:rPr>
          <w:sz w:val="28"/>
        </w:rPr>
        <w:t>Energy customization, particularly with natural gas and electricity, is the result of a maturing network</w:t>
        <w:br/>
      </w:r>
    </w:p>
    <w:p>
      <w:pPr>
        <w:pStyle w:val="Normal"/>
        <w:numPr>
          <w:ilvl w:val="0"/>
          <w:numId w:val="43"/>
        </w:numPr>
        <w:tabs>
          <w:tab w:val="clear" w:pos="720"/>
          <w:tab w:val="decimal" w:pos="7110" w:leader="none"/>
        </w:tabs>
        <w:rPr>
          <w:sz w:val="28"/>
        </w:rPr>
      </w:pPr>
      <w:r>
        <w:rPr>
          <w:sz w:val="28"/>
        </w:rPr>
        <w:t xml:space="preserve">The top of the slide shows the energy products offered on organized world futures markets; the bottom is an example of over-the-counter customization such as Enron provides.  All of this compares to very little (or no) differentiation provided under public utility regulation.  </w:t>
      </w:r>
    </w:p>
    <w:p>
      <w:pPr>
        <w:pStyle w:val="Normal"/>
        <w:tabs>
          <w:tab w:val="clear" w:pos="720"/>
          <w:tab w:val="decimal" w:pos="7110" w:leader="none"/>
        </w:tabs>
        <w:rPr>
          <w:sz w:val="28"/>
        </w:rPr>
      </w:pPr>
      <w:r>
        <w:rPr>
          <w:sz w:val="28"/>
        </w:rPr>
      </w:r>
    </w:p>
    <w:p>
      <w:pPr>
        <w:pStyle w:val="Normal"/>
        <w:numPr>
          <w:ilvl w:val="0"/>
          <w:numId w:val="40"/>
        </w:numPr>
        <w:tabs>
          <w:tab w:val="clear" w:pos="720"/>
          <w:tab w:val="decimal" w:pos="7110" w:leader="none"/>
        </w:tabs>
        <w:rPr>
          <w:sz w:val="28"/>
        </w:rPr>
      </w:pPr>
      <w:r>
        <w:rPr>
          <w:sz w:val="28"/>
        </w:rPr>
        <w:t xml:space="preserve">The tree diagram on the bottom shows the complexity of the natural gas network where customization with </w:t>
      </w:r>
      <w:r>
        <w:rPr>
          <w:sz w:val="28"/>
          <w:u w:val="single"/>
        </w:rPr>
        <w:t>price</w:t>
      </w:r>
      <w:r>
        <w:rPr>
          <w:sz w:val="28"/>
        </w:rPr>
        <w:t xml:space="preserve">, </w:t>
      </w:r>
      <w:r>
        <w:rPr>
          <w:sz w:val="28"/>
          <w:u w:val="single"/>
        </w:rPr>
        <w:t>quantity</w:t>
      </w:r>
      <w:r>
        <w:rPr>
          <w:sz w:val="28"/>
        </w:rPr>
        <w:t xml:space="preserve">, </w:t>
      </w:r>
      <w:r>
        <w:rPr>
          <w:sz w:val="28"/>
          <w:u w:val="single"/>
        </w:rPr>
        <w:t>term</w:t>
      </w:r>
      <w:r>
        <w:rPr>
          <w:sz w:val="28"/>
        </w:rPr>
        <w:t xml:space="preserve">, </w:t>
      </w:r>
      <w:r>
        <w:rPr>
          <w:sz w:val="28"/>
          <w:u w:val="single"/>
        </w:rPr>
        <w:t>reliability</w:t>
      </w:r>
      <w:r>
        <w:rPr>
          <w:sz w:val="28"/>
        </w:rPr>
        <w:t xml:space="preserve">, and </w:t>
      </w:r>
      <w:r>
        <w:rPr>
          <w:sz w:val="28"/>
          <w:u w:val="single"/>
        </w:rPr>
        <w:t>location</w:t>
      </w:r>
      <w:r>
        <w:rPr>
          <w:sz w:val="28"/>
        </w:rPr>
        <w:t xml:space="preserve"> come into play.  Regions and "basis differentials" are prominent.  Swaps, options, and hybrids ("swaptions") have been introduced.  </w:t>
      </w:r>
    </w:p>
    <w:p>
      <w:pPr>
        <w:pStyle w:val="Normal"/>
        <w:tabs>
          <w:tab w:val="clear" w:pos="720"/>
          <w:tab w:val="decimal" w:pos="7110" w:leader="none"/>
        </w:tabs>
        <w:rPr>
          <w:sz w:val="28"/>
        </w:rPr>
      </w:pPr>
      <w:r>
        <w:rPr>
          <w:sz w:val="28"/>
        </w:rPr>
      </w:r>
    </w:p>
    <w:p>
      <w:pPr>
        <w:pStyle w:val="Normal"/>
        <w:numPr>
          <w:ilvl w:val="0"/>
          <w:numId w:val="36"/>
        </w:numPr>
        <w:tabs>
          <w:tab w:val="clear" w:pos="720"/>
          <w:tab w:val="decimal" w:pos="7110" w:leader="none"/>
        </w:tabs>
        <w:spacing w:lineRule="auto" w:line="360"/>
        <w:rPr>
          <w:sz w:val="28"/>
        </w:rPr>
      </w:pPr>
      <w:r>
        <w:rPr>
          <w:sz w:val="28"/>
        </w:rPr>
        <w:t>Example:  natural gas pricing options</w:t>
        <w:tab/>
      </w:r>
    </w:p>
    <w:p>
      <w:pPr>
        <w:pStyle w:val="Normal"/>
        <w:tabs>
          <w:tab w:val="clear" w:pos="720"/>
          <w:tab w:val="left" w:pos="900" w:leader="none"/>
          <w:tab w:val="decimal" w:pos="7110" w:leader="none"/>
        </w:tabs>
        <w:spacing w:lineRule="auto" w:line="360"/>
        <w:rPr>
          <w:sz w:val="28"/>
        </w:rPr>
      </w:pPr>
      <w:r>
        <w:rPr>
          <w:sz w:val="28"/>
        </w:rPr>
        <w:tab/>
        <w:t>(1)  Fixed pricing (1, 5, 10, 15 years or even longer)</w:t>
      </w:r>
    </w:p>
    <w:p>
      <w:pPr>
        <w:pStyle w:val="Normal"/>
        <w:tabs>
          <w:tab w:val="clear" w:pos="720"/>
          <w:tab w:val="left" w:pos="900" w:leader="none"/>
          <w:tab w:val="decimal" w:pos="7110" w:leader="none"/>
        </w:tabs>
        <w:spacing w:lineRule="auto" w:line="360"/>
        <w:rPr>
          <w:sz w:val="28"/>
        </w:rPr>
      </w:pPr>
      <w:r>
        <w:rPr>
          <w:sz w:val="28"/>
        </w:rPr>
        <w:tab/>
        <w:t>(2)  Other Btu's of energy (oil or coal)</w:t>
      </w:r>
    </w:p>
    <w:p>
      <w:pPr>
        <w:pStyle w:val="Normal"/>
        <w:tabs>
          <w:tab w:val="clear" w:pos="720"/>
          <w:tab w:val="left" w:pos="900" w:leader="none"/>
          <w:tab w:val="decimal" w:pos="7110" w:leader="none"/>
        </w:tabs>
        <w:spacing w:lineRule="auto" w:line="360"/>
        <w:rPr>
          <w:sz w:val="28"/>
        </w:rPr>
      </w:pPr>
      <w:r>
        <w:rPr>
          <w:sz w:val="28"/>
        </w:rPr>
        <w:tab/>
        <w:t>(3)  Indexed</w:t>
      </w:r>
    </w:p>
    <w:p>
      <w:pPr>
        <w:pStyle w:val="Normal"/>
        <w:tabs>
          <w:tab w:val="clear" w:pos="720"/>
          <w:tab w:val="left" w:pos="900" w:leader="none"/>
          <w:tab w:val="decimal" w:pos="7110" w:leader="none"/>
        </w:tabs>
        <w:spacing w:lineRule="auto" w:line="360"/>
        <w:rPr>
          <w:sz w:val="28"/>
        </w:rPr>
      </w:pPr>
      <w:r>
        <w:rPr>
          <w:sz w:val="28"/>
        </w:rPr>
        <w:tab/>
        <w:t>(4)  Interest rates</w:t>
      </w:r>
    </w:p>
    <w:p>
      <w:pPr>
        <w:pStyle w:val="BodyText"/>
        <w:numPr>
          <w:ilvl w:val="0"/>
          <w:numId w:val="59"/>
        </w:numPr>
        <w:ind w:hanging="465" w:start="1185" w:end="450"/>
        <w:rPr>
          <w:sz w:val="28"/>
        </w:rPr>
      </w:pPr>
      <w:r>
        <w:rPr>
          <w:sz w:val="28"/>
        </w:rPr>
        <w:t>Other commodity (aluminum, paper, copper . . .)</w:t>
      </w:r>
      <w:r>
        <w:br w:type="page"/>
      </w:r>
    </w:p>
    <w:p>
      <w:pPr>
        <w:pStyle w:val="BodyText"/>
        <w:ind w:start="720" w:end="450"/>
        <w:jc w:val="center"/>
        <w:rPr>
          <w:b/>
          <w:sz w:val="32"/>
        </w:rPr>
      </w:pPr>
      <w:r>
        <w:rPr>
          <w:b/>
          <w:sz w:val="32"/>
        </w:rPr>
        <w:t>Wholesale Energy Operations and Services</w:t>
      </w:r>
    </w:p>
    <w:p>
      <w:pPr>
        <w:pStyle w:val="BodyText"/>
        <w:ind w:end="450"/>
        <w:rPr>
          <w:b/>
          <w:sz w:val="28"/>
        </w:rPr>
      </w:pPr>
      <w:r>
        <w:rPr>
          <w:b/>
          <w:sz w:val="28"/>
        </w:rPr>
      </w:r>
    </w:p>
    <w:p>
      <w:pPr>
        <w:pStyle w:val="BodyText"/>
        <w:ind w:end="450"/>
        <w:rPr>
          <w:b/>
          <w:sz w:val="28"/>
        </w:rPr>
      </w:pPr>
      <w:r>
        <w:rPr>
          <w:b/>
          <w:sz w:val="28"/>
        </w:rPr>
      </w:r>
    </w:p>
    <w:p>
      <w:pPr>
        <w:pStyle w:val="BodyText"/>
        <w:ind w:end="450"/>
        <w:rPr>
          <w:b/>
          <w:sz w:val="28"/>
        </w:rPr>
      </w:pPr>
      <w:r>
        <w:rPr>
          <w:b/>
          <w:sz w:val="28"/>
        </w:rPr>
      </w:r>
    </w:p>
    <w:p>
      <w:pPr>
        <w:pStyle w:val="BodyText"/>
        <w:numPr>
          <w:ilvl w:val="0"/>
          <w:numId w:val="67"/>
        </w:numPr>
        <w:ind w:hanging="360" w:start="720" w:end="450"/>
        <w:rPr>
          <w:sz w:val="28"/>
        </w:rPr>
      </w:pPr>
      <w:r>
        <w:rPr>
          <w:sz w:val="28"/>
        </w:rPr>
        <w:t>Enron’s wholesale business has been growing at an extremely significant rate.</w:t>
      </w:r>
    </w:p>
    <w:p>
      <w:pPr>
        <w:pStyle w:val="BodyText"/>
        <w:ind w:end="450"/>
        <w:rPr>
          <w:sz w:val="28"/>
        </w:rPr>
      </w:pPr>
      <w:r>
        <w:rPr>
          <w:sz w:val="28"/>
        </w:rPr>
      </w:r>
    </w:p>
    <w:p>
      <w:pPr>
        <w:pStyle w:val="BodyText"/>
        <w:ind w:end="450"/>
        <w:rPr>
          <w:sz w:val="28"/>
        </w:rPr>
      </w:pPr>
      <w:r>
        <w:rPr>
          <w:sz w:val="28"/>
        </w:rPr>
      </w:r>
    </w:p>
    <w:p>
      <w:pPr>
        <w:pStyle w:val="BodyText"/>
        <w:numPr>
          <w:ilvl w:val="0"/>
          <w:numId w:val="67"/>
        </w:numPr>
        <w:ind w:hanging="360" w:start="720" w:end="450"/>
        <w:rPr>
          <w:sz w:val="28"/>
        </w:rPr>
      </w:pPr>
      <w:r>
        <w:rPr>
          <w:sz w:val="28"/>
        </w:rPr>
        <w:t>Over the past 5 years, the compounded annual growth rates of our physical volumes traded and EBIT are 38% and 35%, respectively</w:t>
      </w:r>
    </w:p>
    <w:p>
      <w:pPr>
        <w:pStyle w:val="BodyText"/>
        <w:ind w:end="450"/>
        <w:rPr>
          <w:sz w:val="28"/>
        </w:rPr>
      </w:pPr>
      <w:r>
        <w:rPr>
          <w:sz w:val="28"/>
        </w:rPr>
      </w:r>
    </w:p>
    <w:p>
      <w:pPr>
        <w:pStyle w:val="BodyText"/>
        <w:ind w:end="450"/>
        <w:rPr>
          <w:sz w:val="28"/>
        </w:rPr>
      </w:pPr>
      <w:r>
        <w:rPr>
          <w:sz w:val="28"/>
        </w:rPr>
      </w:r>
      <w:r>
        <w:br w:type="page"/>
      </w:r>
    </w:p>
    <w:p>
      <w:pPr>
        <w:pStyle w:val="BodyText"/>
        <w:ind w:start="720" w:end="450"/>
        <w:jc w:val="center"/>
        <w:rPr>
          <w:b/>
          <w:sz w:val="32"/>
        </w:rPr>
      </w:pPr>
      <w:r>
        <w:rPr>
          <w:b/>
          <w:sz w:val="32"/>
        </w:rPr>
        <w:t>Enron’s Wholesale Energy Network</w:t>
      </w:r>
    </w:p>
    <w:p>
      <w:pPr>
        <w:pStyle w:val="BodyText"/>
        <w:ind w:start="720" w:end="450"/>
        <w:jc w:val="center"/>
        <w:rPr>
          <w:b/>
          <w:sz w:val="28"/>
        </w:rPr>
      </w:pPr>
      <w:r>
        <w:rPr>
          <w:b/>
          <w:sz w:val="28"/>
        </w:rPr>
        <w:t>North America</w:t>
      </w:r>
    </w:p>
    <w:p>
      <w:pPr>
        <w:pStyle w:val="Normal"/>
        <w:rPr>
          <w:b/>
          <w:sz w:val="28"/>
          <w:u w:val="single"/>
        </w:rPr>
      </w:pPr>
      <w:r>
        <w:rPr>
          <w:b/>
          <w:sz w:val="28"/>
          <w:u w:val="single"/>
        </w:rPr>
      </w:r>
    </w:p>
    <w:p>
      <w:pPr>
        <w:pStyle w:val="Normal"/>
        <w:rPr>
          <w:b/>
          <w:sz w:val="28"/>
          <w:u w:val="single"/>
        </w:rPr>
      </w:pPr>
      <w:r>
        <w:rPr>
          <w:b/>
          <w:sz w:val="28"/>
          <w:u w:val="single"/>
        </w:rPr>
      </w:r>
    </w:p>
    <w:p>
      <w:pPr>
        <w:pStyle w:val="Normal"/>
        <w:numPr>
          <w:ilvl w:val="0"/>
          <w:numId w:val="55"/>
        </w:numPr>
        <w:rPr>
          <w:sz w:val="28"/>
        </w:rPr>
      </w:pPr>
      <w:r>
        <w:rPr>
          <w:sz w:val="28"/>
        </w:rPr>
        <w:t xml:space="preserve">In the last 15 years, we have expanded our transportation and distribution physical base into broad natural gas and electricity </w:t>
      </w:r>
      <w:r>
        <w:rPr>
          <w:b/>
          <w:sz w:val="28"/>
        </w:rPr>
        <w:t>network</w:t>
      </w:r>
      <w:r>
        <w:rPr>
          <w:sz w:val="28"/>
        </w:rPr>
        <w:t xml:space="preserve">  </w:t>
      </w:r>
    </w:p>
    <w:p>
      <w:pPr>
        <w:pStyle w:val="Normal"/>
        <w:rPr>
          <w:sz w:val="36"/>
        </w:rPr>
      </w:pPr>
      <w:r>
        <w:rPr>
          <w:sz w:val="36"/>
        </w:rPr>
      </w:r>
    </w:p>
    <w:p>
      <w:pPr>
        <w:pStyle w:val="Normal"/>
        <w:tabs>
          <w:tab w:val="left" w:pos="720" w:leader="none"/>
          <w:tab w:val="left" w:pos="1260" w:leader="none"/>
        </w:tabs>
        <w:rPr>
          <w:sz w:val="28"/>
        </w:rPr>
      </w:pPr>
      <w:r>
        <w:rPr>
          <w:sz w:val="28"/>
        </w:rPr>
        <w:tab/>
        <w:t>-</w:t>
        <w:tab/>
        <w:t>We own and lease natural gas storage facilities in both the supply areas and market areas</w:t>
      </w:r>
    </w:p>
    <w:p>
      <w:pPr>
        <w:pStyle w:val="Normal"/>
        <w:tabs>
          <w:tab w:val="clear" w:pos="720"/>
          <w:tab w:val="left" w:pos="63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We own gas-fired power plants in strategic regions of the country</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 xml:space="preserve">We have contractual agreements on gas pipelines and electricity transmission systems across the </w:t>
      </w:r>
    </w:p>
    <w:p>
      <w:pPr>
        <w:pStyle w:val="Normal"/>
        <w:tabs>
          <w:tab w:val="left" w:pos="720" w:leader="none"/>
          <w:tab w:val="left" w:pos="1260" w:leader="none"/>
        </w:tabs>
        <w:rPr>
          <w:sz w:val="28"/>
        </w:rPr>
      </w:pPr>
      <w:r>
        <w:rPr>
          <w:sz w:val="28"/>
        </w:rPr>
        <w:tab/>
        <w:tab/>
        <w:t xml:space="preserve">country making Enron the largest combined gas and electricity wholesale market-maker in the </w:t>
      </w:r>
    </w:p>
    <w:p>
      <w:pPr>
        <w:pStyle w:val="Normal"/>
        <w:tabs>
          <w:tab w:val="left" w:pos="720" w:leader="none"/>
          <w:tab w:val="left" w:pos="1260" w:leader="none"/>
        </w:tabs>
        <w:ind w:start="1260" w:end="0"/>
        <w:rPr>
          <w:b/>
          <w:sz w:val="28"/>
        </w:rPr>
      </w:pPr>
      <w:r>
        <w:rPr>
          <w:sz w:val="28"/>
        </w:rPr>
        <w:t xml:space="preserve">country and the world (Europe and elsewhere).  </w:t>
      </w:r>
      <w:r>
        <w:rPr>
          <w:sz w:val="28"/>
          <w:u w:val="single"/>
        </w:rPr>
        <w:t>We can deliver natural gas and electricity reliably on two hours notice to virtually any point in the country.</w:t>
      </w:r>
    </w:p>
    <w:p>
      <w:pPr>
        <w:pStyle w:val="Normal"/>
        <w:rPr>
          <w:b/>
          <w:sz w:val="28"/>
        </w:rPr>
      </w:pPr>
      <w:r>
        <w:rPr>
          <w:b/>
          <w:sz w:val="28"/>
        </w:rPr>
      </w:r>
    </w:p>
    <w:p>
      <w:pPr>
        <w:pStyle w:val="Normal"/>
        <w:rPr>
          <w:sz w:val="28"/>
        </w:rPr>
      </w:pPr>
      <w:r>
        <w:rPr>
          <w:sz w:val="28"/>
        </w:rPr>
      </w:r>
    </w:p>
    <w:p>
      <w:pPr>
        <w:pStyle w:val="Normal"/>
        <w:numPr>
          <w:ilvl w:val="0"/>
          <w:numId w:val="38"/>
        </w:numPr>
        <w:rPr>
          <w:sz w:val="28"/>
        </w:rPr>
      </w:pPr>
      <w:r>
        <w:rPr>
          <w:sz w:val="28"/>
        </w:rPr>
        <w:t xml:space="preserve">Our wholesale position, the largest in the country, has led to two other strategic thrusts—one with physical assets and the other with energy services  </w:t>
      </w:r>
    </w:p>
    <w:p>
      <w:pPr>
        <w:pStyle w:val="Normal"/>
        <w:rPr>
          <w:sz w:val="28"/>
        </w:rPr>
      </w:pPr>
      <w:r>
        <w:rPr>
          <w:sz w:val="28"/>
        </w:rPr>
      </w:r>
    </w:p>
    <w:p>
      <w:pPr>
        <w:pStyle w:val="Normal"/>
        <w:tabs>
          <w:tab w:val="clear" w:pos="720"/>
          <w:tab w:val="left" w:pos="1170" w:leader="none"/>
        </w:tabs>
        <w:ind w:firstLine="720" w:end="0"/>
        <w:rPr>
          <w:sz w:val="28"/>
        </w:rPr>
      </w:pPr>
      <w:r>
        <w:rPr>
          <w:sz w:val="28"/>
        </w:rPr>
        <w:t>-</w:t>
        <w:tab/>
        <w:t xml:space="preserve">Enron has become a major builder of new power generation capacity to meet peak demand (these are </w:t>
      </w:r>
    </w:p>
    <w:p>
      <w:pPr>
        <w:pStyle w:val="Normal"/>
        <w:tabs>
          <w:tab w:val="clear" w:pos="720"/>
          <w:tab w:val="left" w:pos="1170" w:leader="none"/>
        </w:tabs>
        <w:ind w:firstLine="720" w:end="0"/>
        <w:rPr>
          <w:sz w:val="28"/>
        </w:rPr>
      </w:pPr>
      <w:r>
        <w:rPr>
          <w:sz w:val="28"/>
        </w:rPr>
        <w:tab/>
        <w:t>units that do not run regularly as baseload plants but can be brought on and off on short notice).</w:t>
      </w:r>
    </w:p>
    <w:p>
      <w:pPr>
        <w:pStyle w:val="Normal"/>
        <w:tabs>
          <w:tab w:val="clear" w:pos="720"/>
          <w:tab w:val="left" w:pos="1170" w:leader="none"/>
        </w:tabs>
        <w:ind w:firstLine="720" w:end="0"/>
        <w:rPr>
          <w:sz w:val="28"/>
        </w:rPr>
      </w:pPr>
      <w:r>
        <w:rPr>
          <w:sz w:val="28"/>
        </w:rPr>
      </w:r>
    </w:p>
    <w:p>
      <w:pPr>
        <w:pStyle w:val="Normal"/>
        <w:tabs>
          <w:tab w:val="clear" w:pos="720"/>
          <w:tab w:val="left" w:pos="1170" w:leader="none"/>
        </w:tabs>
        <w:ind w:firstLine="720" w:end="0"/>
        <w:rPr>
          <w:sz w:val="28"/>
        </w:rPr>
      </w:pPr>
      <w:r>
        <w:rPr>
          <w:sz w:val="28"/>
        </w:rPr>
        <w:t>-</w:t>
        <w:tab/>
        <w:t xml:space="preserve">We have also become a retailer of energy services where large customers outsource their energy </w:t>
      </w:r>
    </w:p>
    <w:p>
      <w:pPr>
        <w:pStyle w:val="Normal"/>
        <w:tabs>
          <w:tab w:val="clear" w:pos="720"/>
          <w:tab w:val="left" w:pos="1170" w:leader="none"/>
        </w:tabs>
        <w:ind w:firstLine="720" w:end="0"/>
        <w:rPr>
          <w:sz w:val="28"/>
        </w:rPr>
      </w:pPr>
      <w:r>
        <w:rPr>
          <w:sz w:val="28"/>
        </w:rPr>
        <w:tab/>
        <w:t>function to us.</w:t>
      </w:r>
    </w:p>
    <w:p>
      <w:pPr>
        <w:pStyle w:val="Normal"/>
        <w:rPr>
          <w:b/>
          <w:sz w:val="32"/>
        </w:rPr>
      </w:pPr>
      <w:r>
        <w:rPr>
          <w:b/>
          <w:sz w:val="32"/>
        </w:rPr>
      </w:r>
    </w:p>
    <w:p>
      <w:pPr>
        <w:pStyle w:val="Normal"/>
        <w:numPr>
          <w:ilvl w:val="0"/>
          <w:numId w:val="71"/>
        </w:numPr>
        <w:rPr>
          <w:sz w:val="28"/>
        </w:rPr>
      </w:pPr>
      <w:r>
        <w:rPr>
          <w:sz w:val="28"/>
        </w:rPr>
        <w:t>Yet, our North American businesses only provide 60% of our total income – Enron has become an international player as well</w:t>
      </w:r>
    </w:p>
    <w:p>
      <w:pPr>
        <w:pStyle w:val="Normal"/>
        <w:jc w:val="center"/>
        <w:rPr>
          <w:sz w:val="28"/>
        </w:rPr>
      </w:pPr>
      <w:r>
        <w:rPr>
          <w:sz w:val="28"/>
        </w:rPr>
      </w:r>
      <w:r>
        <w:br w:type="page"/>
      </w:r>
    </w:p>
    <w:p>
      <w:pPr>
        <w:pStyle w:val="BodyText"/>
        <w:ind w:start="720" w:end="450"/>
        <w:jc w:val="center"/>
        <w:rPr>
          <w:b/>
          <w:sz w:val="28"/>
        </w:rPr>
      </w:pPr>
      <w:r>
        <w:rPr>
          <w:b/>
          <w:sz w:val="32"/>
        </w:rPr>
        <w:t>Enron’s European Wholesale Energy Network</w:t>
      </w:r>
    </w:p>
    <w:p>
      <w:pPr>
        <w:pStyle w:val="Normal"/>
        <w:rPr>
          <w:b/>
          <w:sz w:val="28"/>
          <w:u w:val="single"/>
        </w:rPr>
      </w:pPr>
      <w:r>
        <w:rPr>
          <w:b/>
          <w:sz w:val="28"/>
          <w:u w:val="single"/>
        </w:rPr>
      </w:r>
    </w:p>
    <w:p>
      <w:pPr>
        <w:pStyle w:val="Normal"/>
        <w:rPr>
          <w:b/>
          <w:sz w:val="28"/>
          <w:u w:val="single"/>
        </w:rPr>
      </w:pPr>
      <w:r>
        <w:rPr>
          <w:b/>
          <w:sz w:val="28"/>
          <w:u w:val="single"/>
        </w:rPr>
      </w:r>
    </w:p>
    <w:p>
      <w:pPr>
        <w:pStyle w:val="Normal"/>
        <w:numPr>
          <w:ilvl w:val="0"/>
          <w:numId w:val="55"/>
        </w:numPr>
        <w:tabs>
          <w:tab w:val="clear" w:pos="720"/>
          <w:tab w:val="left" w:pos="360" w:leader="none"/>
        </w:tabs>
        <w:ind w:hanging="360" w:start="360" w:end="0"/>
        <w:rPr>
          <w:sz w:val="28"/>
        </w:rPr>
      </w:pPr>
      <w:r>
        <w:rPr>
          <w:sz w:val="28"/>
        </w:rPr>
        <w:t xml:space="preserve">We have also established a broad energy network in Europe where we are the leading energy player with approximately 4,250 BBtu of energy traded per day   </w:t>
      </w:r>
    </w:p>
    <w:p>
      <w:pPr>
        <w:pStyle w:val="Normal"/>
        <w:rPr>
          <w:sz w:val="36"/>
        </w:rPr>
      </w:pPr>
      <w:r>
        <w:rPr>
          <w:sz w:val="36"/>
        </w:rPr>
      </w:r>
    </w:p>
    <w:p>
      <w:pPr>
        <w:pStyle w:val="Normal"/>
        <w:numPr>
          <w:ilvl w:val="0"/>
          <w:numId w:val="24"/>
        </w:numPr>
        <w:tabs>
          <w:tab w:val="left" w:pos="720" w:leader="none"/>
          <w:tab w:val="left" w:pos="1080" w:leader="none"/>
          <w:tab w:val="left" w:pos="1260" w:leader="none"/>
        </w:tabs>
        <w:ind w:hanging="360" w:start="1080" w:end="0"/>
        <w:rPr>
          <w:sz w:val="28"/>
        </w:rPr>
      </w:pPr>
      <w:r>
        <w:rPr>
          <w:sz w:val="28"/>
        </w:rPr>
        <w:t>The European natural gas market is approximately 3 Tcf per year.  In 1999 Enron traded approximately 1,800 BBtu of natural gas, up from approximately 1,200 BBtu in 1998</w:t>
      </w:r>
    </w:p>
    <w:p>
      <w:pPr>
        <w:pStyle w:val="Normal"/>
        <w:tabs>
          <w:tab w:val="clear" w:pos="720"/>
          <w:tab w:val="left" w:pos="630" w:leader="none"/>
          <w:tab w:val="left" w:pos="1260" w:leader="none"/>
        </w:tabs>
        <w:rPr>
          <w:sz w:val="28"/>
        </w:rPr>
      </w:pPr>
      <w:r>
        <w:rPr>
          <w:sz w:val="28"/>
        </w:rPr>
      </w:r>
    </w:p>
    <w:p>
      <w:pPr>
        <w:pStyle w:val="Normal"/>
        <w:numPr>
          <w:ilvl w:val="0"/>
          <w:numId w:val="24"/>
        </w:numPr>
        <w:tabs>
          <w:tab w:val="left" w:pos="720" w:leader="none"/>
          <w:tab w:val="left" w:pos="1080" w:leader="none"/>
          <w:tab w:val="left" w:pos="1260" w:leader="none"/>
        </w:tabs>
        <w:ind w:hanging="360" w:start="1080" w:end="0"/>
        <w:rPr>
          <w:sz w:val="28"/>
        </w:rPr>
      </w:pPr>
      <w:r>
        <w:rPr>
          <w:sz w:val="28"/>
        </w:rPr>
        <w:t>The European power market is approximately 293 TWh per year.  In 1999 Enron traded approximately 91 MMWh of power, up from 38 MMWh in 1998</w:t>
      </w:r>
    </w:p>
    <w:p>
      <w:pPr>
        <w:pStyle w:val="Normal"/>
        <w:tabs>
          <w:tab w:val="left" w:pos="720" w:leader="none"/>
          <w:tab w:val="left" w:pos="1260" w:leader="none"/>
        </w:tabs>
        <w:rPr>
          <w:sz w:val="28"/>
        </w:rPr>
      </w:pPr>
      <w:r>
        <w:rPr>
          <w:sz w:val="28"/>
        </w:rPr>
      </w:r>
    </w:p>
    <w:p>
      <w:pPr>
        <w:pStyle w:val="Normal"/>
        <w:numPr>
          <w:ilvl w:val="0"/>
          <w:numId w:val="24"/>
        </w:numPr>
        <w:tabs>
          <w:tab w:val="left" w:pos="720" w:leader="none"/>
          <w:tab w:val="left" w:pos="1080" w:leader="none"/>
          <w:tab w:val="left" w:pos="1260" w:leader="none"/>
        </w:tabs>
        <w:ind w:hanging="360" w:start="1080" w:end="0"/>
        <w:rPr>
          <w:b/>
          <w:sz w:val="28"/>
        </w:rPr>
      </w:pPr>
      <w:r>
        <w:rPr>
          <w:sz w:val="28"/>
        </w:rPr>
        <w:t>Enron’s originated 24,241 transactions in the European market in 1999, up from 9,451 transactions in 1998</w:t>
      </w:r>
    </w:p>
    <w:p>
      <w:pPr>
        <w:pStyle w:val="Normal"/>
        <w:rPr>
          <w:b/>
          <w:sz w:val="28"/>
        </w:rPr>
      </w:pPr>
      <w:r>
        <w:rPr>
          <w:b/>
          <w:sz w:val="28"/>
        </w:rPr>
      </w:r>
    </w:p>
    <w:p>
      <w:pPr>
        <w:pStyle w:val="Normal"/>
        <w:rPr>
          <w:sz w:val="28"/>
        </w:rPr>
      </w:pPr>
      <w:r>
        <w:rPr>
          <w:sz w:val="28"/>
        </w:rPr>
      </w:r>
    </w:p>
    <w:p>
      <w:pPr>
        <w:pStyle w:val="Normal"/>
        <w:numPr>
          <w:ilvl w:val="0"/>
          <w:numId w:val="52"/>
        </w:numPr>
        <w:tabs>
          <w:tab w:val="clear" w:pos="720"/>
          <w:tab w:val="left" w:pos="360" w:leader="none"/>
        </w:tabs>
        <w:ind w:hanging="360" w:start="360" w:end="0"/>
        <w:rPr>
          <w:sz w:val="28"/>
        </w:rPr>
      </w:pPr>
      <w:r>
        <w:rPr>
          <w:sz w:val="28"/>
        </w:rPr>
        <w:t>Enron’s presence in Europe includes 1,800 employees, 18 offices (3 in the UK, 3 in the Nordic region and 12 in continental Europe), 16 countries, 36 languages and 42 nationalities</w:t>
      </w:r>
    </w:p>
    <w:p>
      <w:pPr>
        <w:pStyle w:val="Normal"/>
        <w:rPr>
          <w:sz w:val="28"/>
        </w:rPr>
      </w:pPr>
      <w:r>
        <w:rPr>
          <w:sz w:val="28"/>
        </w:rPr>
      </w:r>
    </w:p>
    <w:p>
      <w:pPr>
        <w:pStyle w:val="Normal"/>
        <w:rPr>
          <w:sz w:val="28"/>
        </w:rPr>
      </w:pPr>
      <w:r>
        <w:rPr>
          <w:sz w:val="28"/>
        </w:rPr>
      </w:r>
    </w:p>
    <w:p>
      <w:pPr>
        <w:pStyle w:val="Normal"/>
        <w:numPr>
          <w:ilvl w:val="0"/>
          <w:numId w:val="52"/>
        </w:numPr>
        <w:tabs>
          <w:tab w:val="clear" w:pos="720"/>
          <w:tab w:val="left" w:pos="360" w:leader="none"/>
        </w:tabs>
        <w:ind w:hanging="360" w:start="360" w:end="0"/>
        <w:rPr>
          <w:sz w:val="28"/>
        </w:rPr>
      </w:pPr>
      <w:r>
        <w:rPr>
          <w:sz w:val="28"/>
        </w:rPr>
        <w:t>Enron owns and/or operates 10 power plants in Europe (3 in the UK, 5 in continental Europe).</w:t>
      </w:r>
      <w:r>
        <w:br w:type="page"/>
      </w:r>
    </w:p>
    <w:p>
      <w:pPr>
        <w:pStyle w:val="Normal"/>
        <w:jc w:val="center"/>
        <w:rPr>
          <w:b/>
          <w:sz w:val="32"/>
        </w:rPr>
      </w:pPr>
      <w:r>
        <w:rPr>
          <w:b/>
          <w:sz w:val="32"/>
        </w:rPr>
        <w:t>Enron Today:  International Portfolio</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numPr>
          <w:ilvl w:val="0"/>
          <w:numId w:val="32"/>
        </w:numPr>
        <w:rPr>
          <w:sz w:val="28"/>
        </w:rPr>
      </w:pPr>
      <w:r>
        <w:rPr>
          <w:sz w:val="28"/>
        </w:rPr>
        <w:t xml:space="preserve">In addition to our North American operations, we have a major international company with operations in                  </w:t>
      </w:r>
      <w:r>
        <w:rPr>
          <w:sz w:val="28"/>
          <w:u w:val="single"/>
        </w:rPr>
        <w:t>over 30 countries</w:t>
      </w:r>
    </w:p>
    <w:p>
      <w:pPr>
        <w:pStyle w:val="Normal"/>
        <w:rPr>
          <w:sz w:val="28"/>
        </w:rPr>
      </w:pPr>
      <w:r>
        <w:rPr>
          <w:sz w:val="28"/>
        </w:rPr>
      </w:r>
    </w:p>
    <w:p>
      <w:pPr>
        <w:pStyle w:val="Normal"/>
        <w:numPr>
          <w:ilvl w:val="0"/>
          <w:numId w:val="32"/>
        </w:numPr>
        <w:rPr>
          <w:sz w:val="28"/>
        </w:rPr>
      </w:pPr>
      <w:r>
        <w:rPr>
          <w:sz w:val="28"/>
        </w:rPr>
        <w:t>We have:</w:t>
      </w:r>
    </w:p>
    <w:p>
      <w:pPr>
        <w:pStyle w:val="BodyTextIndent2"/>
        <w:ind w:hanging="540" w:start="1260" w:end="0"/>
        <w:rPr/>
      </w:pPr>
      <w:r>
        <w:rPr/>
        <w:t xml:space="preserve">- </w:t>
        <w:tab/>
        <w:t>An expanding European wholesale network with major power plants and market-making capabilities with gas and electricity</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A Southern Cone strategy with pipelines and power plants in a dozen Latin American countries</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Projects in China and India that we hope are the beginning of an integrated energy strategy in Asia</w:t>
      </w:r>
    </w:p>
    <w:p>
      <w:pPr>
        <w:pStyle w:val="Normal"/>
        <w:rPr>
          <w:sz w:val="28"/>
        </w:rPr>
      </w:pPr>
      <w:r>
        <w:rPr>
          <w:sz w:val="28"/>
        </w:rPr>
      </w:r>
    </w:p>
    <w:p>
      <w:pPr>
        <w:pStyle w:val="Normal"/>
        <w:numPr>
          <w:ilvl w:val="0"/>
          <w:numId w:val="8"/>
        </w:numPr>
        <w:rPr>
          <w:sz w:val="28"/>
        </w:rPr>
      </w:pPr>
      <w:r>
        <w:rPr>
          <w:sz w:val="28"/>
        </w:rPr>
        <w:t>Around 40% of our net income came from international operations last year compared to only 2% in the late 1980s.  (Non-European international is a growing proportion of this.)</w:t>
      </w:r>
    </w:p>
    <w:p>
      <w:pPr>
        <w:pStyle w:val="Normal"/>
        <w:rPr>
          <w:sz w:val="28"/>
        </w:rPr>
      </w:pPr>
      <w:r>
        <w:rPr>
          <w:sz w:val="28"/>
        </w:rPr>
      </w:r>
    </w:p>
    <w:p>
      <w:pPr>
        <w:pStyle w:val="Normal"/>
        <w:numPr>
          <w:ilvl w:val="0"/>
          <w:numId w:val="8"/>
        </w:numPr>
        <w:rPr>
          <w:sz w:val="28"/>
        </w:rPr>
      </w:pPr>
      <w:r>
        <w:rPr>
          <w:sz w:val="28"/>
        </w:rPr>
        <w:t>We will continue to export our North American skill set and believe that eventually energy markets around the world will be as developed as in North America today, although some regions (Europe) will mature much faster than other regions (Asia, Africa)</w:t>
      </w:r>
    </w:p>
    <w:p>
      <w:pPr>
        <w:pStyle w:val="Normal"/>
        <w:jc w:val="center"/>
        <w:rPr>
          <w:sz w:val="28"/>
        </w:rPr>
      </w:pPr>
      <w:r>
        <w:rPr>
          <w:sz w:val="28"/>
        </w:rPr>
      </w:r>
    </w:p>
    <w:p>
      <w:pPr>
        <w:pStyle w:val="Normal"/>
        <w:jc w:val="center"/>
        <w:rPr/>
      </w:pPr>
      <w:r>
        <w:rPr/>
      </w:r>
    </w:p>
    <w:p>
      <w:pPr>
        <w:pStyle w:val="Normal"/>
        <w:jc w:val="center"/>
        <w:rPr/>
      </w:pPr>
      <w:r>
        <w:rPr/>
      </w:r>
      <w:r>
        <w:br w:type="page"/>
      </w:r>
    </w:p>
    <w:p>
      <w:pPr>
        <w:pStyle w:val="Normal"/>
        <w:jc w:val="center"/>
        <w:rPr>
          <w:b/>
          <w:sz w:val="32"/>
        </w:rPr>
      </w:pPr>
      <w:r>
        <w:rPr>
          <w:b/>
          <w:sz w:val="32"/>
        </w:rPr>
        <w:t>Total Energy Outsourcing</w:t>
      </w:r>
    </w:p>
    <w:p>
      <w:pPr>
        <w:pStyle w:val="Normal"/>
        <w:jc w:val="center"/>
        <w:rPr>
          <w:b/>
          <w:sz w:val="32"/>
        </w:rPr>
      </w:pPr>
      <w:r>
        <w:rPr>
          <w:b/>
          <w:sz w:val="32"/>
        </w:rPr>
      </w:r>
    </w:p>
    <w:p>
      <w:pPr>
        <w:pStyle w:val="Normal"/>
        <w:jc w:val="center"/>
        <w:rPr>
          <w:b/>
          <w:sz w:val="32"/>
        </w:rPr>
      </w:pPr>
      <w:r>
        <w:rPr>
          <w:b/>
          <w:sz w:val="32"/>
        </w:rPr>
      </w:r>
    </w:p>
    <w:p>
      <w:pPr>
        <w:pStyle w:val="Normal"/>
        <w:numPr>
          <w:ilvl w:val="0"/>
          <w:numId w:val="73"/>
        </w:numPr>
        <w:rPr>
          <w:sz w:val="26"/>
        </w:rPr>
      </w:pPr>
      <w:r>
        <w:rPr>
          <w:sz w:val="26"/>
        </w:rPr>
        <w:t xml:space="preserve">An offshoot of energy customization is </w:t>
      </w:r>
      <w:r>
        <w:rPr>
          <w:sz w:val="26"/>
          <w:u w:val="single"/>
        </w:rPr>
        <w:t>total energy outsourcing</w:t>
      </w:r>
      <w:r>
        <w:rPr>
          <w:sz w:val="26"/>
        </w:rPr>
        <w:t>, where large retail energy users can lock-in savings by contracting with a single energy provider</w:t>
      </w:r>
    </w:p>
    <w:p>
      <w:pPr>
        <w:pStyle w:val="Normal"/>
        <w:rPr>
          <w:sz w:val="26"/>
        </w:rPr>
      </w:pPr>
      <w:r>
        <w:rPr>
          <w:sz w:val="26"/>
        </w:rPr>
      </w:r>
    </w:p>
    <w:p>
      <w:pPr>
        <w:pStyle w:val="Normal"/>
        <w:numPr>
          <w:ilvl w:val="0"/>
          <w:numId w:val="73"/>
        </w:numPr>
        <w:rPr>
          <w:sz w:val="26"/>
        </w:rPr>
      </w:pPr>
      <w:r>
        <w:rPr>
          <w:sz w:val="26"/>
        </w:rPr>
        <w:t>Traditionally, energy users managed their many requirements by working with their utility and many other specialists (as many as a dozen).  This was a very time-consuming process and was not a core competency of the typical business.</w:t>
      </w:r>
    </w:p>
    <w:p>
      <w:pPr>
        <w:pStyle w:val="Normal"/>
        <w:rPr>
          <w:sz w:val="26"/>
        </w:rPr>
      </w:pPr>
      <w:r>
        <w:rPr>
          <w:sz w:val="26"/>
        </w:rPr>
      </w:r>
    </w:p>
    <w:p>
      <w:pPr>
        <w:pStyle w:val="Normal"/>
        <w:numPr>
          <w:ilvl w:val="0"/>
          <w:numId w:val="21"/>
        </w:numPr>
        <w:rPr>
          <w:sz w:val="26"/>
        </w:rPr>
      </w:pPr>
      <w:r>
        <w:rPr>
          <w:sz w:val="26"/>
        </w:rPr>
        <w:t>A specialist like Enron can apply improved energy core competencies and scale economies to shave 8-10% of our customers energy costs by:</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1.  Managing the commodity;</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2.  Managing the energy information (billing and metering to reducing energy consumption and even purchases);</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3.  Managing all the energy assets of the private “utility,” including the boilers, chillers and substations</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4.  Taking over management of all facilities; and</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5.  Providing important new capital to upgrade or replace inefficient infrastructure.</w:t>
      </w:r>
    </w:p>
    <w:p>
      <w:pPr>
        <w:pStyle w:val="BodyText3"/>
        <w:tabs>
          <w:tab w:val="clear" w:pos="720"/>
          <w:tab w:val="left" w:pos="450" w:leader="none"/>
          <w:tab w:val="left" w:pos="810" w:leader="none"/>
          <w:tab w:val="left" w:pos="1260" w:leader="none"/>
          <w:tab w:val="left" w:pos="7470" w:leader="none"/>
          <w:tab w:val="left" w:pos="7920" w:leader="none"/>
          <w:tab w:val="left" w:pos="9990" w:leader="none"/>
          <w:tab w:val="left" w:pos="10800" w:leader="none"/>
          <w:tab w:val="left" w:pos="13500" w:leader="none"/>
        </w:tabs>
        <w:spacing w:lineRule="auto" w:line="360"/>
        <w:ind w:end="-450"/>
        <w:rPr>
          <w:sz w:val="26"/>
        </w:rPr>
      </w:pPr>
      <w:r>
        <w:rPr>
          <w:sz w:val="26"/>
        </w:rPr>
      </w:r>
    </w:p>
    <w:p>
      <w:pPr>
        <w:pStyle w:val="BodyText3"/>
        <w:numPr>
          <w:ilvl w:val="0"/>
          <w:numId w:val="78"/>
        </w:numPr>
        <w:tabs>
          <w:tab w:val="clear" w:pos="720"/>
          <w:tab w:val="left" w:pos="360" w:leader="none"/>
          <w:tab w:val="left" w:pos="810" w:leader="none"/>
          <w:tab w:val="left" w:pos="1260" w:leader="none"/>
          <w:tab w:val="left" w:pos="7470" w:leader="none"/>
          <w:tab w:val="left" w:pos="7920" w:leader="none"/>
          <w:tab w:val="left" w:pos="8022" w:leader="none"/>
          <w:tab w:val="left" w:pos="9990" w:leader="none"/>
          <w:tab w:val="left" w:pos="10800" w:leader="none"/>
          <w:tab w:val="left" w:pos="13500" w:leader="none"/>
        </w:tabs>
        <w:spacing w:lineRule="auto" w:line="360"/>
        <w:ind w:hanging="8022" w:start="8022" w:end="-450"/>
        <w:rPr>
          <w:sz w:val="26"/>
        </w:rPr>
      </w:pPr>
      <w:r>
        <w:rPr>
          <w:sz w:val="26"/>
        </w:rPr>
        <w:t>A huge new market for Energy Service Companies (ESCOs):</w:t>
      </w:r>
    </w:p>
    <w:p>
      <w:pPr>
        <w:pStyle w:val="BodyText3"/>
        <w:tabs>
          <w:tab w:val="clear" w:pos="720"/>
          <w:tab w:val="left" w:pos="360" w:leader="none"/>
          <w:tab w:val="left" w:pos="810" w:leader="none"/>
          <w:tab w:val="left" w:pos="1260" w:leader="none"/>
          <w:tab w:val="left" w:pos="7470" w:leader="none"/>
          <w:tab w:val="left" w:pos="7920" w:leader="none"/>
          <w:tab w:val="left" w:pos="9990" w:leader="none"/>
          <w:tab w:val="left" w:pos="10800" w:leader="none"/>
          <w:tab w:val="left" w:pos="13500" w:leader="none"/>
        </w:tabs>
        <w:spacing w:lineRule="auto" w:line="360"/>
        <w:ind w:end="-450"/>
        <w:rPr/>
      </w:pPr>
      <w:r>
        <w:rPr>
          <w:sz w:val="26"/>
        </w:rPr>
        <w:tab/>
        <w:tab/>
        <w:tab/>
        <w:t xml:space="preserve">                                   </w:t>
      </w:r>
      <w:r>
        <w:rPr>
          <w:sz w:val="26"/>
          <w:u w:val="single"/>
        </w:rPr>
        <w:t>North America</w:t>
      </w:r>
      <w:r>
        <w:rPr>
          <w:sz w:val="26"/>
        </w:rPr>
        <w:tab/>
      </w:r>
      <w:r>
        <w:rPr>
          <w:sz w:val="26"/>
          <w:u w:val="single"/>
        </w:rPr>
        <w:t>Net Assets</w:t>
      </w:r>
      <w:r>
        <w:rPr>
          <w:sz w:val="26"/>
        </w:rPr>
        <w:t xml:space="preserve">                   </w:t>
      </w:r>
      <w:r>
        <w:rPr>
          <w:sz w:val="26"/>
          <w:u w:val="single"/>
        </w:rPr>
        <w:t>Annual Market</w:t>
      </w:r>
      <w:r>
        <w:rPr>
          <w:sz w:val="26"/>
        </w:rPr>
        <w:tab/>
        <w:tab/>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0890" w:leader="none"/>
          <w:tab w:val="left" w:pos="13500" w:leader="none"/>
        </w:tabs>
        <w:ind w:end="-450"/>
        <w:rPr>
          <w:sz w:val="26"/>
        </w:rPr>
      </w:pPr>
      <w:r>
        <w:rPr>
          <w:sz w:val="26"/>
        </w:rPr>
        <w:tab/>
        <w:tab/>
        <w:tab/>
        <w:t>Public Utility</w:t>
        <w:tab/>
        <w:tab/>
        <w:t>$175 Billion</w:t>
        <w:tab/>
        <w:tab/>
        <w:t>$ 81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0890" w:leader="none"/>
          <w:tab w:val="left" w:pos="13500" w:leader="none"/>
        </w:tabs>
        <w:ind w:end="-450"/>
        <w:rPr>
          <w:sz w:val="26"/>
        </w:rPr>
      </w:pPr>
      <w:r>
        <w:rPr>
          <w:sz w:val="26"/>
        </w:rPr>
        <w:tab/>
        <w:tab/>
        <w:tab/>
        <w:t>Private Utility</w:t>
        <w:tab/>
        <w:tab/>
        <w:t>$450 Billion</w:t>
        <w:tab/>
        <w:tab/>
        <w:t>$ 60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 xml:space="preserve">    (HVAC Services &amp; Capital)</w:t>
        <w:tab/>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Facility Management</w:t>
        <w:tab/>
        <w:tab/>
      </w:r>
      <w:r>
        <w:rPr>
          <w:sz w:val="26"/>
          <w:u w:val="single"/>
        </w:rPr>
        <w:t xml:space="preserve">      - 0 -        </w:t>
        <w:tab/>
      </w:r>
      <w:r>
        <w:rPr>
          <w:sz w:val="26"/>
        </w:rPr>
        <w:tab/>
      </w:r>
      <w:r>
        <w:rPr>
          <w:sz w:val="26"/>
          <w:u w:val="single"/>
        </w:rPr>
        <w:t>$102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ab/>
        <w:tab/>
        <w:t>$625 Billion</w:t>
        <w:tab/>
        <w:tab/>
        <w:t>$243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r>
    </w:p>
    <w:p>
      <w:pPr>
        <w:pStyle w:val="Header"/>
        <w:tabs>
          <w:tab w:val="clear" w:pos="4320"/>
          <w:tab w:val="clear" w:pos="8640"/>
        </w:tabs>
        <w:rPr>
          <w:sz w:val="28"/>
        </w:rPr>
      </w:pPr>
      <w:r>
        <w:rPr>
          <w:sz w:val="26"/>
        </w:rPr>
        <w:t>We are moving into the European retail market (estimated at $264 billion) and are in the early stages of developing Latin American retail markets</w:t>
      </w:r>
    </w:p>
    <w:p>
      <w:pPr>
        <w:pStyle w:val="Normal"/>
        <w:rPr>
          <w:sz w:val="28"/>
        </w:rPr>
      </w:pPr>
      <w:r>
        <w:rPr>
          <w:sz w:val="28"/>
        </w:rPr>
      </w:r>
      <w:r>
        <w:br w:type="page"/>
      </w:r>
    </w:p>
    <w:p>
      <w:pPr>
        <w:pStyle w:val="Normal"/>
        <w:jc w:val="center"/>
        <w:rPr>
          <w:b/>
          <w:sz w:val="32"/>
        </w:rPr>
      </w:pPr>
      <w:r>
        <w:rPr>
          <w:b/>
          <w:sz w:val="32"/>
        </w:rPr>
        <w:t>Enron Energy Services</w:t>
      </w:r>
    </w:p>
    <w:p>
      <w:pPr>
        <w:pStyle w:val="Normal"/>
        <w:jc w:val="center"/>
        <w:rPr>
          <w:b/>
          <w:sz w:val="32"/>
        </w:rPr>
      </w:pPr>
      <w:r>
        <w:rPr>
          <w:b/>
          <w:sz w:val="32"/>
        </w:rPr>
      </w:r>
    </w:p>
    <w:p>
      <w:pPr>
        <w:pStyle w:val="Normal"/>
        <w:jc w:val="center"/>
        <w:rPr>
          <w:b/>
          <w:sz w:val="32"/>
        </w:rPr>
      </w:pPr>
      <w:r>
        <w:rPr>
          <w:b/>
          <w:sz w:val="32"/>
        </w:rPr>
      </w:r>
    </w:p>
    <w:p>
      <w:pPr>
        <w:pStyle w:val="Normal"/>
        <w:rPr>
          <w:b/>
          <w:sz w:val="28"/>
        </w:rPr>
      </w:pPr>
      <w:r>
        <w:rPr>
          <w:b/>
          <w:sz w:val="28"/>
        </w:rPr>
      </w:r>
    </w:p>
    <w:p>
      <w:pPr>
        <w:pStyle w:val="Normal"/>
        <w:rPr>
          <w:sz w:val="28"/>
        </w:rPr>
      </w:pPr>
      <w:r>
        <w:rPr>
          <w:sz w:val="28"/>
        </w:rPr>
      </w:r>
    </w:p>
    <w:p>
      <w:pPr>
        <w:pStyle w:val="Normal"/>
        <w:numPr>
          <w:ilvl w:val="0"/>
          <w:numId w:val="39"/>
        </w:numPr>
        <w:rPr>
          <w:b/>
          <w:sz w:val="28"/>
        </w:rPr>
      </w:pPr>
      <w:r>
        <w:rPr>
          <w:sz w:val="28"/>
        </w:rPr>
        <w:t>Enron Energy Services has made the leap into the positive profitability zone.  In 2000, we hope to sell $75 million worth of energy services.</w:t>
      </w:r>
    </w:p>
    <w:p>
      <w:pPr>
        <w:pStyle w:val="Normal"/>
        <w:rPr>
          <w:b/>
          <w:sz w:val="28"/>
        </w:rPr>
      </w:pPr>
      <w:r>
        <w:rPr>
          <w:b/>
          <w:sz w:val="28"/>
        </w:rPr>
      </w:r>
    </w:p>
    <w:p>
      <w:pPr>
        <w:pStyle w:val="Normal"/>
        <w:rPr>
          <w:sz w:val="28"/>
        </w:rPr>
      </w:pPr>
      <w:r>
        <w:rPr>
          <w:sz w:val="28"/>
        </w:rPr>
      </w:r>
    </w:p>
    <w:p>
      <w:pPr>
        <w:pStyle w:val="Normal"/>
        <w:numPr>
          <w:ilvl w:val="0"/>
          <w:numId w:val="8"/>
        </w:numPr>
        <w:rPr>
          <w:sz w:val="28"/>
        </w:rPr>
      </w:pPr>
      <w:r>
        <w:rPr>
          <w:sz w:val="28"/>
        </w:rPr>
        <w:t>Our annual contract value increases steadily, doubling every year.</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r>
        <w:br w:type="page"/>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t>Enron Energy Services - National Network</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r>
    </w:p>
    <w:p>
      <w:pPr>
        <w:pStyle w:val="BodyText3"/>
        <w:numPr>
          <w:ilvl w:val="0"/>
          <w:numId w:val="3"/>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In the last four years, Enron has created a national network which offers one-stop energy outsourcing</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numPr>
          <w:ilvl w:val="0"/>
          <w:numId w:val="65"/>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4,500 field employees - 250 project managers</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[work from slide]</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numPr>
          <w:ilvl w:val="0"/>
          <w:numId w:val="60"/>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Growth in total contract value has made us the largest energy service company (ESCO) in the U.S.</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t>
        <w:tab/>
        <w:t>$3.8 billion by year end 1998 (cumulative)</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t>
        <w:tab/>
        <w:t>$8.5 billion by year end 1999 (cumulative)</w:t>
      </w:r>
    </w:p>
    <w:p>
      <w:pPr>
        <w:pStyle w:val="BodyText3"/>
        <w:numPr>
          <w:ilvl w:val="0"/>
          <w:numId w:val="24"/>
        </w:numPr>
        <w:tabs>
          <w:tab w:val="clear" w:pos="720"/>
          <w:tab w:val="left" w:pos="1080" w:leader="none"/>
        </w:tabs>
        <w:ind w:hanging="360" w:start="1080" w:end="0"/>
        <w:rPr/>
      </w:pPr>
      <w:r>
        <w:rPr/>
        <w:t xml:space="preserve">   </w:t>
      </w:r>
      <w:r>
        <w:rPr/>
        <w:t>$16 billion anticipated by year end 2000 (cumulative)</w:t>
      </w:r>
    </w:p>
    <w:p>
      <w:pPr>
        <w:pStyle w:val="BodyText3"/>
        <w:rPr/>
      </w:pPr>
      <w:r>
        <w:rPr/>
      </w:r>
    </w:p>
    <w:p>
      <w:pPr>
        <w:pStyle w:val="BodyText3"/>
        <w:rPr/>
      </w:pPr>
      <w:r>
        <w:rPr/>
      </w:r>
      <w:r>
        <w:br w:type="page"/>
      </w:r>
    </w:p>
    <w:p>
      <w:pPr>
        <w:pStyle w:val="FootnoteText"/>
        <w:jc w:val="center"/>
        <w:rPr>
          <w:b/>
          <w:sz w:val="32"/>
        </w:rPr>
      </w:pPr>
      <w:r>
        <w:rPr>
          <w:b/>
          <w:sz w:val="32"/>
        </w:rPr>
        <w:t>Enron’s Retail Energy Customers</w:t>
      </w:r>
    </w:p>
    <w:p>
      <w:pPr>
        <w:pStyle w:val="Normal"/>
        <w:jc w:val="center"/>
        <w:rPr>
          <w:b/>
          <w:sz w:val="32"/>
        </w:rPr>
      </w:pPr>
      <w:r>
        <w:rPr>
          <w:b/>
          <w:sz w:val="32"/>
        </w:rPr>
      </w:r>
    </w:p>
    <w:p>
      <w:pPr>
        <w:pStyle w:val="Normal"/>
        <w:ind w:start="720" w:end="0"/>
        <w:rPr>
          <w:b/>
          <w:sz w:val="28"/>
        </w:rPr>
      </w:pPr>
      <w:r>
        <w:rPr>
          <w:b/>
          <w:sz w:val="28"/>
        </w:rPr>
      </w:r>
    </w:p>
    <w:p>
      <w:pPr>
        <w:pStyle w:val="BodyText3"/>
        <w:tabs>
          <w:tab w:val="clear" w:pos="720"/>
          <w:tab w:val="left" w:pos="900" w:leader="none"/>
          <w:tab w:val="left" w:pos="1440" w:leader="none"/>
        </w:tabs>
        <w:rPr/>
      </w:pPr>
      <w:r>
        <w:rPr/>
        <w:t>Work From Slide</w:t>
      </w:r>
    </w:p>
    <w:p>
      <w:pPr>
        <w:pStyle w:val="Normal"/>
        <w:ind w:firstLine="720" w:start="3960" w:end="0"/>
        <w:rPr>
          <w:sz w:val="26"/>
        </w:rPr>
      </w:pPr>
      <w:r>
        <w:rPr>
          <w:sz w:val="26"/>
        </w:rPr>
      </w:r>
      <w:r>
        <w:br w:type="page"/>
      </w:r>
    </w:p>
    <w:p>
      <w:pPr>
        <w:pStyle w:val="Normal"/>
        <w:tabs>
          <w:tab w:val="clear" w:pos="720"/>
          <w:tab w:val="decimal" w:pos="7110" w:leader="none"/>
        </w:tabs>
        <w:jc w:val="center"/>
        <w:rPr>
          <w:b/>
          <w:sz w:val="32"/>
        </w:rPr>
      </w:pPr>
      <w:r>
        <w:rPr>
          <w:b/>
          <w:sz w:val="32"/>
        </w:rPr>
        <w:t>Enron Retail In Europe</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spacing w:lineRule="auto" w:line="360"/>
        <w:rPr>
          <w:sz w:val="28"/>
        </w:rPr>
      </w:pPr>
      <w:r>
        <w:rPr>
          <w:sz w:val="28"/>
        </w:rPr>
        <w:t>Work From Slide</w:t>
      </w:r>
    </w:p>
    <w:p>
      <w:pPr>
        <w:pStyle w:val="Normal"/>
        <w:tabs>
          <w:tab w:val="clear" w:pos="720"/>
          <w:tab w:val="left" w:pos="900" w:leader="none"/>
          <w:tab w:val="decimal" w:pos="7110" w:leader="none"/>
        </w:tabs>
        <w:spacing w:lineRule="auto" w:line="360"/>
        <w:rPr>
          <w:sz w:val="28"/>
        </w:rPr>
      </w:pPr>
      <w:r>
        <w:rPr>
          <w:sz w:val="28"/>
        </w:rPr>
        <w:tab/>
      </w:r>
    </w:p>
    <w:p>
      <w:pPr>
        <w:pStyle w:val="Normal"/>
        <w:tabs>
          <w:tab w:val="clear" w:pos="720"/>
          <w:tab w:val="left" w:pos="900" w:leader="none"/>
          <w:tab w:val="decimal" w:pos="7110" w:leader="none"/>
        </w:tabs>
        <w:spacing w:lineRule="auto" w:line="360"/>
        <w:rPr>
          <w:sz w:val="28"/>
        </w:rPr>
      </w:pPr>
      <w:r>
        <w:rPr>
          <w:sz w:val="28"/>
        </w:rPr>
      </w:r>
      <w:r>
        <w:br w:type="page"/>
      </w:r>
    </w:p>
    <w:p>
      <w:pPr>
        <w:pStyle w:val="Heading1"/>
        <w:jc w:val="center"/>
        <w:rPr>
          <w:b/>
          <w:sz w:val="32"/>
        </w:rPr>
      </w:pPr>
      <w:r>
        <w:rPr>
          <w:b/>
          <w:sz w:val="32"/>
        </w:rPr>
        <w:t>Enron Broadband Services</w:t>
      </w:r>
    </w:p>
    <w:p>
      <w:pPr>
        <w:pStyle w:val="Normal"/>
        <w:tabs>
          <w:tab w:val="clear" w:pos="720"/>
          <w:tab w:val="left" w:pos="5940" w:leader="none"/>
        </w:tabs>
        <w:ind w:hanging="450" w:start="450" w:end="0"/>
        <w:jc w:val="center"/>
        <w:rPr>
          <w:b/>
          <w:sz w:val="32"/>
        </w:rPr>
      </w:pPr>
      <w:r>
        <w:rPr>
          <w:b/>
          <w:sz w:val="32"/>
        </w:rPr>
      </w:r>
    </w:p>
    <w:p>
      <w:pPr>
        <w:pStyle w:val="Normal"/>
        <w:jc w:val="center"/>
        <w:rPr>
          <w:b/>
          <w:sz w:val="26"/>
        </w:rPr>
      </w:pPr>
      <w:r>
        <w:rPr>
          <w:b/>
          <w:sz w:val="26"/>
        </w:rPr>
      </w:r>
    </w:p>
    <w:p>
      <w:pPr>
        <w:pStyle w:val="Normal"/>
        <w:numPr>
          <w:ilvl w:val="0"/>
          <w:numId w:val="44"/>
        </w:numPr>
        <w:rPr>
          <w:sz w:val="28"/>
        </w:rPr>
      </w:pPr>
      <w:r>
        <w:rPr>
          <w:sz w:val="28"/>
        </w:rPr>
        <w:t xml:space="preserve">EBS specializes in </w:t>
      </w:r>
      <w:r>
        <w:rPr>
          <w:sz w:val="28"/>
          <w:u w:val="single"/>
        </w:rPr>
        <w:t>premium broadband services</w:t>
      </w:r>
      <w:r>
        <w:rPr>
          <w:sz w:val="28"/>
        </w:rPr>
        <w:t>.  Our mission to deliver the platform to accelerate e-business transformation.</w:t>
      </w:r>
    </w:p>
    <w:p>
      <w:pPr>
        <w:pStyle w:val="Normal"/>
        <w:rPr>
          <w:sz w:val="28"/>
        </w:rPr>
      </w:pPr>
      <w:r>
        <w:rPr>
          <w:sz w:val="28"/>
        </w:rPr>
      </w:r>
    </w:p>
    <w:p>
      <w:pPr>
        <w:pStyle w:val="Normal"/>
        <w:numPr>
          <w:ilvl w:val="0"/>
          <w:numId w:val="44"/>
        </w:numPr>
        <w:rPr>
          <w:sz w:val="28"/>
        </w:rPr>
      </w:pPr>
      <w:r>
        <w:rPr>
          <w:sz w:val="28"/>
        </w:rPr>
        <w:t>The three components of our niche are:</w:t>
      </w:r>
    </w:p>
    <w:p>
      <w:pPr>
        <w:pStyle w:val="Normal"/>
        <w:rPr>
          <w:sz w:val="28"/>
        </w:rPr>
      </w:pPr>
      <w:r>
        <w:rPr>
          <w:sz w:val="28"/>
        </w:rPr>
      </w:r>
    </w:p>
    <w:p>
      <w:pPr>
        <w:pStyle w:val="Normal"/>
        <w:ind w:firstLine="360" w:end="0"/>
        <w:rPr>
          <w:sz w:val="28"/>
          <w:u w:val="single"/>
        </w:rPr>
      </w:pPr>
      <w:r>
        <w:rPr>
          <w:sz w:val="28"/>
          <w:u w:val="single"/>
        </w:rPr>
        <w:t>Bandwidth Intermediation</w:t>
      </w:r>
    </w:p>
    <w:p>
      <w:pPr>
        <w:pStyle w:val="Normal"/>
        <w:numPr>
          <w:ilvl w:val="0"/>
          <w:numId w:val="31"/>
        </w:numPr>
        <w:tabs>
          <w:tab w:val="clear" w:pos="720"/>
          <w:tab w:val="left" w:pos="1080" w:leader="none"/>
        </w:tabs>
        <w:rPr>
          <w:sz w:val="28"/>
        </w:rPr>
      </w:pPr>
      <w:r>
        <w:rPr>
          <w:sz w:val="28"/>
        </w:rPr>
        <w:t>an efficient, active bandwidth market</w:t>
      </w:r>
    </w:p>
    <w:p>
      <w:pPr>
        <w:pStyle w:val="Normal"/>
        <w:numPr>
          <w:ilvl w:val="0"/>
          <w:numId w:val="31"/>
        </w:numPr>
        <w:tabs>
          <w:tab w:val="clear" w:pos="720"/>
          <w:tab w:val="left" w:pos="1080" w:leader="none"/>
        </w:tabs>
        <w:rPr>
          <w:sz w:val="28"/>
        </w:rPr>
      </w:pPr>
      <w:r>
        <w:rPr>
          <w:sz w:val="28"/>
        </w:rPr>
        <w:t>dynamic, low-cost provisioning of bandwidth for the EIN (see below)</w:t>
      </w:r>
    </w:p>
    <w:p>
      <w:pPr>
        <w:pStyle w:val="Normal"/>
        <w:numPr>
          <w:ilvl w:val="0"/>
          <w:numId w:val="31"/>
        </w:numPr>
        <w:tabs>
          <w:tab w:val="clear" w:pos="720"/>
          <w:tab w:val="left" w:pos="1080" w:leader="none"/>
        </w:tabs>
        <w:rPr>
          <w:sz w:val="28"/>
        </w:rPr>
      </w:pPr>
      <w:r>
        <w:rPr>
          <w:sz w:val="28"/>
        </w:rPr>
        <w:t>Enron intends to be the largest buyer and seller of bandwidth in the world</w:t>
      </w:r>
    </w:p>
    <w:p>
      <w:pPr>
        <w:pStyle w:val="Normal"/>
        <w:tabs>
          <w:tab w:val="clear" w:pos="720"/>
          <w:tab w:val="left" w:pos="1080" w:leader="none"/>
        </w:tabs>
        <w:rPr>
          <w:sz w:val="28"/>
        </w:rPr>
      </w:pPr>
      <w:r>
        <w:rPr>
          <w:sz w:val="28"/>
        </w:rPr>
      </w:r>
    </w:p>
    <w:p>
      <w:pPr>
        <w:pStyle w:val="Normal"/>
        <w:tabs>
          <w:tab w:val="clear" w:pos="720"/>
          <w:tab w:val="left" w:pos="1080" w:leader="none"/>
        </w:tabs>
        <w:rPr/>
      </w:pPr>
      <w:r>
        <w:rPr>
          <w:sz w:val="28"/>
        </w:rPr>
        <w:t xml:space="preserve">      </w:t>
      </w:r>
      <w:r>
        <w:rPr>
          <w:sz w:val="28"/>
          <w:u w:val="single"/>
        </w:rPr>
        <w:t>Enron Intelligent Network</w:t>
      </w:r>
    </w:p>
    <w:p>
      <w:pPr>
        <w:pStyle w:val="Normal"/>
        <w:numPr>
          <w:ilvl w:val="0"/>
          <w:numId w:val="31"/>
        </w:numPr>
        <w:tabs>
          <w:tab w:val="clear" w:pos="720"/>
          <w:tab w:val="left" w:pos="1080" w:leader="none"/>
        </w:tabs>
        <w:rPr>
          <w:sz w:val="28"/>
        </w:rPr>
      </w:pPr>
      <w:r>
        <w:rPr>
          <w:sz w:val="28"/>
        </w:rPr>
        <w:t>Embraces the advantages of the Internet: flexible; ubiquitous; global reach; and low cost</w:t>
      </w:r>
    </w:p>
    <w:p>
      <w:pPr>
        <w:pStyle w:val="Normal"/>
        <w:tabs>
          <w:tab w:val="clear" w:pos="720"/>
          <w:tab w:val="left" w:pos="1080" w:leader="none"/>
        </w:tabs>
        <w:ind w:start="360" w:end="0"/>
        <w:rPr>
          <w:sz w:val="28"/>
        </w:rPr>
      </w:pPr>
      <w:r>
        <w:rPr>
          <w:sz w:val="28"/>
        </w:rPr>
      </w:r>
    </w:p>
    <w:p>
      <w:pPr>
        <w:pStyle w:val="Normal"/>
        <w:numPr>
          <w:ilvl w:val="0"/>
          <w:numId w:val="4"/>
        </w:numPr>
        <w:tabs>
          <w:tab w:val="left" w:pos="720" w:leader="none"/>
          <w:tab w:val="left" w:pos="1080" w:leader="none"/>
        </w:tabs>
        <w:ind w:hanging="360" w:start="720" w:end="0"/>
        <w:rPr>
          <w:sz w:val="28"/>
        </w:rPr>
      </w:pPr>
      <w:r>
        <w:rPr>
          <w:sz w:val="28"/>
        </w:rPr>
        <w:t>Offers an unparalleled platform for delivery of premium broadband content</w:t>
      </w:r>
    </w:p>
    <w:p>
      <w:pPr>
        <w:pStyle w:val="Normal"/>
        <w:tabs>
          <w:tab w:val="left" w:pos="720" w:leader="none"/>
          <w:tab w:val="left" w:pos="1260" w:leader="none"/>
        </w:tabs>
        <w:rPr>
          <w:sz w:val="28"/>
        </w:rPr>
      </w:pPr>
      <w:r>
        <w:rPr>
          <w:sz w:val="28"/>
        </w:rPr>
        <w:tab/>
        <w:tab/>
        <w:t xml:space="preserve">        proven standardized system components</w:t>
      </w:r>
    </w:p>
    <w:p>
      <w:pPr>
        <w:pStyle w:val="Normal"/>
        <w:tabs>
          <w:tab w:val="left" w:pos="720" w:leader="none"/>
          <w:tab w:val="left" w:pos="1260" w:leader="none"/>
        </w:tabs>
        <w:rPr>
          <w:sz w:val="28"/>
        </w:rPr>
      </w:pPr>
      <w:r>
        <w:rPr>
          <w:sz w:val="28"/>
        </w:rPr>
        <w:t xml:space="preserve">                 </w:t>
      </w:r>
      <w:r>
        <w:rPr>
          <w:sz w:val="28"/>
        </w:rPr>
        <w:tab/>
        <w:t xml:space="preserve">        guaranteed quality of service</w:t>
        <w:br/>
        <w:tab/>
        <w:tab/>
        <w:t xml:space="preserve">        Reliable, secure delivery of high capacity applications</w:t>
      </w:r>
    </w:p>
    <w:p>
      <w:pPr>
        <w:pStyle w:val="Normal"/>
        <w:tabs>
          <w:tab w:val="left" w:pos="720" w:leader="none"/>
          <w:tab w:val="left" w:pos="1260" w:leader="none"/>
        </w:tabs>
        <w:rPr>
          <w:sz w:val="28"/>
        </w:rPr>
      </w:pPr>
      <w:r>
        <w:rPr>
          <w:sz w:val="28"/>
        </w:rPr>
      </w:r>
    </w:p>
    <w:p>
      <w:pPr>
        <w:pStyle w:val="Normal"/>
        <w:numPr>
          <w:ilvl w:val="0"/>
          <w:numId w:val="31"/>
        </w:numPr>
        <w:tabs>
          <w:tab w:val="clear" w:pos="720"/>
          <w:tab w:val="left" w:pos="1170" w:leader="none"/>
          <w:tab w:val="left" w:pos="1260" w:leader="none"/>
        </w:tabs>
        <w:rPr>
          <w:sz w:val="28"/>
        </w:rPr>
      </w:pPr>
      <w:r>
        <w:rPr>
          <w:sz w:val="28"/>
        </w:rPr>
        <w:t>Validated by leading industry participants and provides a major new revenue source for Enron with modest investment</w:t>
      </w:r>
    </w:p>
    <w:p>
      <w:pPr>
        <w:pStyle w:val="Normal"/>
        <w:tabs>
          <w:tab w:val="left" w:pos="720" w:leader="none"/>
          <w:tab w:val="left" w:pos="1170" w:leader="none"/>
          <w:tab w:val="left" w:pos="1260" w:leader="none"/>
        </w:tabs>
        <w:rPr>
          <w:sz w:val="28"/>
        </w:rPr>
      </w:pPr>
      <w:r>
        <w:rPr>
          <w:sz w:val="28"/>
        </w:rPr>
        <w:t xml:space="preserve">      </w:t>
      </w:r>
    </w:p>
    <w:p>
      <w:pPr>
        <w:pStyle w:val="Normal"/>
        <w:tabs>
          <w:tab w:val="left" w:pos="720" w:leader="none"/>
          <w:tab w:val="left" w:pos="1170" w:leader="none"/>
          <w:tab w:val="left" w:pos="1260" w:leader="none"/>
        </w:tabs>
        <w:rPr/>
      </w:pPr>
      <w:r>
        <w:rPr>
          <w:sz w:val="28"/>
        </w:rPr>
        <w:t xml:space="preserve">      </w:t>
      </w:r>
      <w:r>
        <w:rPr>
          <w:sz w:val="28"/>
          <w:u w:val="single"/>
        </w:rPr>
        <w:t>Content Services</w:t>
      </w:r>
    </w:p>
    <w:p>
      <w:pPr>
        <w:pStyle w:val="Normal"/>
        <w:numPr>
          <w:ilvl w:val="0"/>
          <w:numId w:val="31"/>
        </w:numPr>
        <w:tabs>
          <w:tab w:val="clear" w:pos="720"/>
          <w:tab w:val="left" w:pos="1170" w:leader="none"/>
        </w:tabs>
        <w:rPr>
          <w:sz w:val="28"/>
        </w:rPr>
      </w:pPr>
      <w:r>
        <w:rPr>
          <w:sz w:val="28"/>
        </w:rPr>
        <w:t>leveraging EIN platform for premium broadband content delivery</w:t>
      </w:r>
    </w:p>
    <w:p>
      <w:pPr>
        <w:pStyle w:val="BodyText3"/>
        <w:numPr>
          <w:ilvl w:val="0"/>
          <w:numId w:val="68"/>
        </w:numPr>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hanging="360" w:start="720" w:end="-450"/>
        <w:rPr>
          <w:sz w:val="24"/>
        </w:rPr>
      </w:pPr>
      <w:r>
        <w:rPr/>
        <w:t>product development for broadband applications</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start="720" w:end="-450"/>
        <w:rPr>
          <w:sz w:val="24"/>
        </w:rPr>
      </w:pPr>
      <w:r>
        <w:rPr>
          <w:sz w:val="24"/>
        </w:rPr>
      </w:r>
      <w:r>
        <w:br w:type="page"/>
      </w:r>
    </w:p>
    <w:p>
      <w:pPr>
        <w:pStyle w:val="Normal"/>
        <w:jc w:val="center"/>
        <w:rPr>
          <w:b/>
          <w:sz w:val="32"/>
        </w:rPr>
      </w:pPr>
      <w:r>
        <w:rPr>
          <w:b/>
          <w:sz w:val="32"/>
        </w:rPr>
        <w:t>Key EBS Metrics</w:t>
        <w:br/>
      </w:r>
    </w:p>
    <w:p>
      <w:pPr>
        <w:pStyle w:val="Normal"/>
        <w:jc w:val="center"/>
        <w:rPr>
          <w:b/>
          <w:sz w:val="32"/>
        </w:rPr>
      </w:pPr>
      <w:r>
        <w:rPr>
          <w:b/>
          <w:sz w:val="32"/>
        </w:rPr>
      </w:r>
    </w:p>
    <w:p>
      <w:pPr>
        <w:pStyle w:val="Normal"/>
        <w:jc w:val="center"/>
        <w:rPr>
          <w:sz w:val="32"/>
        </w:rPr>
      </w:pPr>
      <w:r>
        <w:rPr>
          <w:sz w:val="32"/>
        </w:rPr>
      </w:r>
    </w:p>
    <w:p>
      <w:pPr>
        <w:pStyle w:val="Normal"/>
        <w:numPr>
          <w:ilvl w:val="0"/>
          <w:numId w:val="15"/>
        </w:numPr>
        <w:rPr>
          <w:sz w:val="28"/>
        </w:rPr>
      </w:pPr>
      <w:r>
        <w:rPr>
          <w:sz w:val="28"/>
        </w:rPr>
        <w:t>As seen from this slide, Enron Broadband Services is still in a start-up growth mode.</w:t>
      </w:r>
    </w:p>
    <w:p>
      <w:pPr>
        <w:pStyle w:val="Normal"/>
        <w:rPr>
          <w:sz w:val="28"/>
        </w:rPr>
      </w:pPr>
      <w:r>
        <w:rPr>
          <w:sz w:val="28"/>
        </w:rPr>
      </w:r>
    </w:p>
    <w:p>
      <w:pPr>
        <w:pStyle w:val="Normal"/>
        <w:ind w:firstLine="360" w:end="0"/>
        <w:rPr>
          <w:sz w:val="28"/>
        </w:rPr>
      </w:pPr>
      <w:r>
        <w:rPr>
          <w:sz w:val="28"/>
        </w:rPr>
        <w:t>[work from slide]</w:t>
      </w:r>
    </w:p>
    <w:p>
      <w:pPr>
        <w:pStyle w:val="BodyText3"/>
        <w:tabs>
          <w:tab w:val="clear" w:pos="720"/>
          <w:tab w:val="left" w:pos="900" w:leader="none"/>
          <w:tab w:val="left" w:pos="1440" w:leader="none"/>
        </w:tabs>
        <w:rPr>
          <w:sz w:val="28"/>
        </w:rPr>
      </w:pPr>
      <w:r>
        <w:rPr>
          <w:sz w:val="28"/>
        </w:rPr>
      </w:r>
      <w:r>
        <w:br w:type="page"/>
      </w:r>
    </w:p>
    <w:p>
      <w:pPr>
        <w:pStyle w:val="BodyText3"/>
        <w:tabs>
          <w:tab w:val="clear" w:pos="720"/>
          <w:tab w:val="left" w:pos="450" w:leader="none"/>
          <w:tab w:val="left" w:pos="810" w:leader="none"/>
          <w:tab w:val="left" w:pos="1260" w:leader="none"/>
        </w:tabs>
        <w:ind w:start="360" w:end="0"/>
        <w:jc w:val="center"/>
        <w:rPr>
          <w:b/>
          <w:sz w:val="32"/>
        </w:rPr>
      </w:pPr>
      <w:r>
        <w:rPr>
          <w:b/>
          <w:sz w:val="32"/>
        </w:rPr>
        <w:t>EBS Network Connectivity</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numPr>
          <w:ilvl w:val="0"/>
          <w:numId w:val="33"/>
        </w:numPr>
        <w:rPr>
          <w:sz w:val="28"/>
        </w:rPr>
      </w:pPr>
      <w:r>
        <w:rPr>
          <w:sz w:val="28"/>
        </w:rPr>
        <w:t>This slide represents Enron Broadband Services’ private fiber lines and network connectivity across the U.S. and, increasingly, in major European cities and the world.</w:t>
      </w:r>
    </w:p>
    <w:p>
      <w:pPr>
        <w:pStyle w:val="Normal"/>
        <w:rPr>
          <w:sz w:val="28"/>
        </w:rPr>
      </w:pPr>
      <w:r>
        <w:rPr>
          <w:sz w:val="28"/>
        </w:rPr>
      </w:r>
    </w:p>
    <w:p>
      <w:pPr>
        <w:pStyle w:val="Normal"/>
        <w:rPr>
          <w:sz w:val="28"/>
        </w:rPr>
      </w:pPr>
      <w:r>
        <w:rPr>
          <w:sz w:val="28"/>
        </w:rPr>
      </w:r>
    </w:p>
    <w:p>
      <w:pPr>
        <w:pStyle w:val="Normal"/>
        <w:rPr>
          <w:sz w:val="28"/>
        </w:rPr>
      </w:pPr>
      <w:r>
        <w:rPr>
          <w:sz w:val="28"/>
        </w:rPr>
      </w:r>
    </w:p>
    <w:p>
      <w:pPr>
        <w:pStyle w:val="BodyText3"/>
        <w:numPr>
          <w:ilvl w:val="0"/>
          <w:numId w:val="75"/>
        </w:numPr>
        <w:tabs>
          <w:tab w:val="clear" w:pos="720"/>
          <w:tab w:val="left" w:pos="450" w:leader="none"/>
          <w:tab w:val="left" w:pos="810" w:leader="none"/>
          <w:tab w:val="left" w:pos="1260" w:leader="none"/>
        </w:tabs>
        <w:rPr/>
      </w:pPr>
      <w:r>
        <w:rPr/>
        <w:t>We believe it is a global market opportunity</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6"/>
        </w:rPr>
      </w:pPr>
      <w:r>
        <w:rPr>
          <w:b/>
          <w:sz w:val="36"/>
        </w:rPr>
        <w:t>Enron Online</w:t>
      </w:r>
    </w:p>
    <w:p>
      <w:pPr>
        <w:pStyle w:val="BodyText3"/>
        <w:tabs>
          <w:tab w:val="clear" w:pos="720"/>
          <w:tab w:val="left" w:pos="450" w:leader="none"/>
          <w:tab w:val="left" w:pos="810" w:leader="none"/>
          <w:tab w:val="left" w:pos="1260" w:leader="none"/>
        </w:tabs>
        <w:jc w:val="center"/>
        <w:rPr>
          <w:b/>
          <w:sz w:val="36"/>
        </w:rPr>
      </w:pPr>
      <w:r>
        <w:rPr>
          <w:b/>
          <w:sz w:val="36"/>
        </w:rPr>
      </w:r>
    </w:p>
    <w:p>
      <w:pPr>
        <w:pStyle w:val="BodyText3"/>
        <w:numPr>
          <w:ilvl w:val="0"/>
          <w:numId w:val="70"/>
        </w:numPr>
        <w:tabs>
          <w:tab w:val="clear" w:pos="720"/>
          <w:tab w:val="left" w:pos="810" w:leader="none"/>
          <w:tab w:val="left" w:pos="1260" w:leader="none"/>
        </w:tabs>
        <w:rPr/>
      </w:pPr>
      <w:r>
        <w:rPr/>
        <w:t>With the massive internet network in place, the transformation of business practices by the Internet has happened faster than most of us even imagined</w:t>
      </w:r>
    </w:p>
    <w:p>
      <w:pPr>
        <w:pStyle w:val="BodyText3"/>
        <w:tabs>
          <w:tab w:val="clear" w:pos="720"/>
          <w:tab w:val="left" w:pos="630" w:leader="none"/>
          <w:tab w:val="left" w:pos="1080" w:leader="none"/>
        </w:tabs>
        <w:rPr/>
      </w:pPr>
      <w:r>
        <w:rPr/>
        <w:tab/>
        <w:t>-</w:t>
        <w:tab/>
        <w:t>Gathering information</w:t>
      </w:r>
    </w:p>
    <w:p>
      <w:pPr>
        <w:pStyle w:val="BodyText3"/>
        <w:tabs>
          <w:tab w:val="clear" w:pos="720"/>
          <w:tab w:val="left" w:pos="630" w:leader="none"/>
          <w:tab w:val="left" w:pos="1080" w:leader="none"/>
        </w:tabs>
        <w:rPr/>
      </w:pPr>
      <w:r>
        <w:rPr/>
        <w:tab/>
        <w:t>-</w:t>
        <w:tab/>
        <w:t>Purchases</w:t>
      </w:r>
    </w:p>
    <w:p>
      <w:pPr>
        <w:pStyle w:val="BodyText3"/>
        <w:tabs>
          <w:tab w:val="clear" w:pos="720"/>
          <w:tab w:val="left" w:pos="630" w:leader="none"/>
          <w:tab w:val="left" w:pos="1080" w:leader="none"/>
        </w:tabs>
        <w:rPr/>
      </w:pPr>
      <w:r>
        <w:rPr/>
        <w:tab/>
        <w:t>-</w:t>
        <w:tab/>
        <w:t>Sales</w:t>
      </w:r>
    </w:p>
    <w:p>
      <w:pPr>
        <w:pStyle w:val="BodyText3"/>
        <w:tabs>
          <w:tab w:val="clear" w:pos="720"/>
          <w:tab w:val="left" w:pos="630" w:leader="none"/>
          <w:tab w:val="left" w:pos="1080" w:leader="none"/>
        </w:tabs>
        <w:rPr/>
      </w:pPr>
      <w:r>
        <w:rPr/>
        <w:tab/>
        <w:t>-</w:t>
        <w:tab/>
        <w:t>Exchanges</w:t>
        <w:br/>
        <w:tab/>
      </w:r>
    </w:p>
    <w:p>
      <w:pPr>
        <w:pStyle w:val="BodyText3"/>
        <w:numPr>
          <w:ilvl w:val="0"/>
          <w:numId w:val="11"/>
        </w:numPr>
        <w:tabs>
          <w:tab w:val="clear" w:pos="720"/>
          <w:tab w:val="left" w:pos="360" w:leader="none"/>
          <w:tab w:val="left" w:pos="630" w:leader="none"/>
          <w:tab w:val="left" w:pos="1080" w:leader="none"/>
        </w:tabs>
        <w:ind w:hanging="360" w:start="360" w:end="0"/>
        <w:rPr/>
      </w:pPr>
      <w:r>
        <w:rPr/>
        <w:t xml:space="preserve">In the fourth quarter of last year, Enron began moving its slate of marketing products to our new online service  </w:t>
      </w:r>
    </w:p>
    <w:p>
      <w:pPr>
        <w:pStyle w:val="BodyText3"/>
        <w:tabs>
          <w:tab w:val="clear" w:pos="720"/>
          <w:tab w:val="left" w:pos="810" w:leader="none"/>
          <w:tab w:val="left" w:pos="1260" w:leader="none"/>
        </w:tabs>
        <w:rPr>
          <w:sz w:val="26"/>
        </w:rPr>
      </w:pPr>
      <w:r>
        <w:rPr>
          <w:sz w:val="26"/>
        </w:rPr>
      </w:r>
    </w:p>
    <w:p>
      <w:pPr>
        <w:pStyle w:val="BodyText3"/>
        <w:tabs>
          <w:tab w:val="clear" w:pos="720"/>
          <w:tab w:val="left" w:pos="810" w:leader="none"/>
          <w:tab w:val="left" w:pos="1260" w:leader="none"/>
        </w:tabs>
        <w:rPr>
          <w:sz w:val="26"/>
        </w:rPr>
      </w:pPr>
      <w:r>
        <w:rPr>
          <w:sz w:val="26"/>
        </w:rPr>
      </w:r>
    </w:p>
    <w:p>
      <w:pPr>
        <w:pStyle w:val="BodyText3"/>
        <w:numPr>
          <w:ilvl w:val="0"/>
          <w:numId w:val="7"/>
        </w:numPr>
        <w:tabs>
          <w:tab w:val="clear" w:pos="720"/>
          <w:tab w:val="left" w:pos="630" w:leader="none"/>
          <w:tab w:val="left" w:pos="1080" w:leader="none"/>
        </w:tabs>
        <w:rPr/>
      </w:pPr>
      <w:r>
        <w:rPr/>
        <w:t>EnronOnline allows users to transact instantly over the Internet with a counter party they know and trust, and do it with minimal costs</w:t>
      </w:r>
    </w:p>
    <w:p>
      <w:pPr>
        <w:pStyle w:val="BodyText3"/>
        <w:tabs>
          <w:tab w:val="clear" w:pos="720"/>
          <w:tab w:val="left" w:pos="630" w:leader="none"/>
          <w:tab w:val="left" w:pos="1080" w:leader="none"/>
        </w:tabs>
        <w:rPr/>
      </w:pPr>
      <w:r>
        <w:rPr/>
      </w:r>
    </w:p>
    <w:p>
      <w:pPr>
        <w:pStyle w:val="BodyText3"/>
        <w:tabs>
          <w:tab w:val="clear" w:pos="720"/>
          <w:tab w:val="left" w:pos="630" w:leader="none"/>
          <w:tab w:val="left" w:pos="108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pPr>
      <w:r>
        <w:rPr/>
        <w:t>Enron Online is the largest energy-related eCommerce platform with more than $125 billion already traded in 2000</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900" w:leader="none"/>
          <w:tab w:val="left" w:pos="1440" w:leader="none"/>
        </w:tabs>
        <w:jc w:val="center"/>
        <w:rPr/>
      </w:pPr>
      <w:r>
        <w:rPr>
          <w:b/>
          <w:sz w:val="32"/>
        </w:rPr>
        <w:t>The Internet</w:t>
      </w:r>
      <w:r>
        <w:rPr/>
        <w:t xml:space="preserve"> </w:t>
      </w:r>
      <w:r>
        <w:rPr>
          <w:b/>
          <w:sz w:val="32"/>
        </w:rPr>
        <w:t>- Fastest Social Change in History</w:t>
      </w:r>
    </w:p>
    <w:p>
      <w:pPr>
        <w:pStyle w:val="BodyText3"/>
        <w:tabs>
          <w:tab w:val="clear" w:pos="720"/>
          <w:tab w:val="left" w:pos="900" w:leader="none"/>
          <w:tab w:val="left" w:pos="1440" w:leader="none"/>
        </w:tabs>
        <w:jc w:val="center"/>
        <w:rPr>
          <w:b/>
          <w:sz w:val="32"/>
        </w:rPr>
      </w:pPr>
      <w:r>
        <w:rPr>
          <w:b/>
          <w:sz w:val="32"/>
        </w:rPr>
      </w:r>
    </w:p>
    <w:p>
      <w:pPr>
        <w:pStyle w:val="BodyText3"/>
        <w:tabs>
          <w:tab w:val="clear" w:pos="720"/>
          <w:tab w:val="left" w:pos="900" w:leader="none"/>
          <w:tab w:val="left" w:pos="1440" w:leader="none"/>
        </w:tabs>
        <w:rPr>
          <w:b/>
        </w:rPr>
      </w:pPr>
      <w:r>
        <w:rPr>
          <w:b/>
        </w:rPr>
      </w:r>
    </w:p>
    <w:p>
      <w:pPr>
        <w:pStyle w:val="BodyText3"/>
        <w:numPr>
          <w:ilvl w:val="0"/>
          <w:numId w:val="10"/>
        </w:numPr>
        <w:tabs>
          <w:tab w:val="clear" w:pos="720"/>
          <w:tab w:val="left" w:pos="900" w:leader="none"/>
          <w:tab w:val="left" w:pos="1440" w:leader="none"/>
        </w:tabs>
        <w:rPr/>
      </w:pPr>
      <w:r>
        <w:rPr/>
        <w:t xml:space="preserve">A key characteristic of the new economy is speed—the time from which new products and services are introduced until they reach critical massing in the marketplace  </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Andy Grove, Chairman of the Board, Intel, once stated: "There are waves . . . and then there is a tsunami”</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The Internet certainly represents a tsunami</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Looking at the penetration rates of major new technologies in the U.S.</w:t>
      </w:r>
    </w:p>
    <w:p>
      <w:pPr>
        <w:pStyle w:val="BodyText3"/>
        <w:tabs>
          <w:tab w:val="clear" w:pos="720"/>
          <w:tab w:val="left" w:pos="360" w:leader="none"/>
          <w:tab w:val="left" w:pos="900" w:leader="none"/>
          <w:tab w:val="left" w:pos="1350" w:leader="none"/>
          <w:tab w:val="left" w:pos="4500" w:leader="none"/>
        </w:tabs>
        <w:spacing w:lineRule="exact" w:line="380"/>
        <w:rPr/>
      </w:pPr>
      <w:r>
        <w:rPr/>
        <w:tab/>
        <w:tab/>
        <w:t>-</w:t>
        <w:tab/>
        <w:t xml:space="preserve">To reach 50 million users: </w:t>
        <w:tab/>
        <w:t>radio = 38 years</w:t>
      </w:r>
    </w:p>
    <w:p>
      <w:pPr>
        <w:pStyle w:val="BodyText3"/>
        <w:tabs>
          <w:tab w:val="clear" w:pos="720"/>
          <w:tab w:val="left" w:pos="360" w:leader="none"/>
          <w:tab w:val="left" w:pos="900" w:leader="none"/>
          <w:tab w:val="left" w:pos="1350" w:leader="none"/>
          <w:tab w:val="left" w:pos="4500" w:leader="none"/>
        </w:tabs>
        <w:spacing w:lineRule="exact" w:line="380"/>
        <w:rPr/>
      </w:pPr>
      <w:r>
        <w:rPr/>
        <w:tab/>
        <w:tab/>
        <w:tab/>
        <w:tab/>
        <w:t>television = 13 years (mid '50s - mid '60s)</w:t>
      </w:r>
    </w:p>
    <w:p>
      <w:pPr>
        <w:pStyle w:val="BodyText3"/>
        <w:tabs>
          <w:tab w:val="clear" w:pos="720"/>
          <w:tab w:val="left" w:pos="360" w:leader="none"/>
          <w:tab w:val="left" w:pos="900" w:leader="none"/>
          <w:tab w:val="left" w:pos="1350" w:leader="none"/>
          <w:tab w:val="left" w:pos="4500" w:leader="none"/>
        </w:tabs>
        <w:spacing w:lineRule="exact" w:line="380"/>
        <w:rPr/>
      </w:pPr>
      <w:r>
        <w:rPr/>
        <w:tab/>
        <w:tab/>
        <w:tab/>
        <w:tab/>
        <w:t>cable = 10 years (late '70s - late '80s)</w:t>
      </w:r>
    </w:p>
    <w:p>
      <w:pPr>
        <w:pStyle w:val="BodyText3"/>
        <w:tabs>
          <w:tab w:val="clear" w:pos="720"/>
          <w:tab w:val="left" w:pos="360" w:leader="none"/>
          <w:tab w:val="left" w:pos="900" w:leader="none"/>
          <w:tab w:val="left" w:pos="1350" w:leader="none"/>
          <w:tab w:val="left" w:pos="4500" w:leader="none"/>
        </w:tabs>
        <w:spacing w:lineRule="exact" w:line="380"/>
        <w:rPr/>
      </w:pPr>
      <w:r>
        <w:rPr/>
      </w:r>
    </w:p>
    <w:p>
      <w:pPr>
        <w:pStyle w:val="BodyText3"/>
        <w:tabs>
          <w:tab w:val="clear" w:pos="720"/>
          <w:tab w:val="left" w:pos="360" w:leader="none"/>
          <w:tab w:val="left" w:pos="900" w:leader="none"/>
          <w:tab w:val="left" w:pos="1350" w:leader="none"/>
          <w:tab w:val="left" w:pos="4500" w:leader="none"/>
        </w:tabs>
        <w:spacing w:lineRule="exact" w:line="380"/>
        <w:rPr/>
      </w:pPr>
      <w:r>
        <w:rPr/>
        <w:tab/>
        <w:tab/>
        <w:tab/>
        <w:t>Internet = 5 years (1990s) (U.S. households =&gt; 50 million this year)</w:t>
      </w:r>
    </w:p>
    <w:p>
      <w:pPr>
        <w:pStyle w:val="BodyText3"/>
        <w:tabs>
          <w:tab w:val="clear" w:pos="720"/>
          <w:tab w:val="left" w:pos="810" w:leader="none"/>
          <w:tab w:val="left" w:pos="1260" w:leader="none"/>
          <w:tab w:val="left" w:pos="1350" w:leader="none"/>
        </w:tabs>
        <w:rPr/>
      </w:pPr>
      <w:r>
        <w:rPr/>
        <w:tab/>
      </w:r>
    </w:p>
    <w:p>
      <w:pPr>
        <w:pStyle w:val="BodyText3"/>
        <w:tabs>
          <w:tab w:val="clear" w:pos="720"/>
          <w:tab w:val="left" w:pos="360" w:leader="none"/>
          <w:tab w:val="left" w:pos="900" w:leader="none"/>
          <w:tab w:val="left" w:pos="1350" w:leader="none"/>
        </w:tabs>
        <w:rPr/>
      </w:pPr>
      <w:r>
        <w:rPr/>
        <w:tab/>
        <w:tab/>
        <w:t>-</w:t>
        <w:tab/>
        <w:t>Next 50 million users expected sooner for the Internet (forecast to be 250 million worldwide by 2002)</w:t>
      </w:r>
    </w:p>
    <w:p>
      <w:pPr>
        <w:pStyle w:val="BodyText3"/>
        <w:tabs>
          <w:tab w:val="clear" w:pos="720"/>
          <w:tab w:val="left" w:pos="450" w:leader="none"/>
          <w:tab w:val="left" w:pos="810" w:leader="none"/>
          <w:tab w:val="left" w:pos="1260" w:leader="none"/>
        </w:tabs>
        <w:ind w:firstLine="450" w:end="0"/>
        <w:rPr/>
      </w:pPr>
      <w:r>
        <w:rPr/>
      </w:r>
    </w:p>
    <w:p>
      <w:pPr>
        <w:pStyle w:val="BodyText3"/>
        <w:numPr>
          <w:ilvl w:val="0"/>
          <w:numId w:val="66"/>
        </w:numPr>
        <w:tabs>
          <w:tab w:val="clear" w:pos="720"/>
          <w:tab w:val="left" w:pos="810" w:leader="none"/>
          <w:tab w:val="left" w:pos="1260" w:leader="none"/>
        </w:tabs>
        <w:rPr/>
      </w:pPr>
      <w:r>
        <w:rPr/>
        <w:t>Thus the new term, "net speed"</w:t>
      </w:r>
    </w:p>
    <w:p>
      <w:pPr>
        <w:pStyle w:val="BodyText3"/>
        <w:tabs>
          <w:tab w:val="clear" w:pos="720"/>
          <w:tab w:val="left" w:pos="810" w:leader="none"/>
          <w:tab w:val="left" w:pos="1260" w:leader="none"/>
        </w:tabs>
        <w:ind w:start="7200" w:end="0"/>
        <w:rPr>
          <w:sz w:val="24"/>
          <w:u w:val="single"/>
        </w:rPr>
      </w:pPr>
      <w:r>
        <w:rPr>
          <w:sz w:val="24"/>
          <w:u w:val="single"/>
        </w:rPr>
        <w:t>U.S. Online Households</w:t>
      </w:r>
    </w:p>
    <w:p>
      <w:pPr>
        <w:pStyle w:val="BodyText3"/>
        <w:tabs>
          <w:tab w:val="clear" w:pos="720"/>
          <w:tab w:val="left" w:pos="810" w:leader="none"/>
          <w:tab w:val="left" w:pos="1260" w:leader="none"/>
        </w:tabs>
        <w:ind w:start="7200" w:end="0"/>
        <w:rPr>
          <w:sz w:val="24"/>
        </w:rPr>
      </w:pPr>
      <w:r>
        <w:rPr>
          <w:sz w:val="24"/>
        </w:rPr>
        <w:t>1995 - 10 million</w:t>
      </w:r>
    </w:p>
    <w:p>
      <w:pPr>
        <w:pStyle w:val="BodyText3"/>
        <w:tabs>
          <w:tab w:val="clear" w:pos="720"/>
          <w:tab w:val="left" w:pos="810" w:leader="none"/>
          <w:tab w:val="left" w:pos="1260" w:leader="none"/>
        </w:tabs>
        <w:ind w:start="7200" w:end="0"/>
        <w:rPr>
          <w:sz w:val="24"/>
        </w:rPr>
      </w:pPr>
      <w:r>
        <w:rPr>
          <w:sz w:val="24"/>
        </w:rPr>
        <w:t>1996 - 16 million</w:t>
      </w:r>
    </w:p>
    <w:p>
      <w:pPr>
        <w:pStyle w:val="BodyText3"/>
        <w:tabs>
          <w:tab w:val="clear" w:pos="720"/>
          <w:tab w:val="left" w:pos="810" w:leader="none"/>
          <w:tab w:val="left" w:pos="1260" w:leader="none"/>
        </w:tabs>
        <w:ind w:start="7200" w:end="0"/>
        <w:rPr>
          <w:sz w:val="24"/>
        </w:rPr>
      </w:pPr>
      <w:r>
        <w:rPr>
          <w:sz w:val="24"/>
        </w:rPr>
        <w:t>1997 - 28 million</w:t>
      </w:r>
    </w:p>
    <w:p>
      <w:pPr>
        <w:pStyle w:val="BodyText3"/>
        <w:tabs>
          <w:tab w:val="clear" w:pos="720"/>
          <w:tab w:val="left" w:pos="810" w:leader="none"/>
          <w:tab w:val="left" w:pos="1260" w:leader="none"/>
        </w:tabs>
        <w:ind w:start="7200" w:end="0"/>
        <w:rPr>
          <w:sz w:val="24"/>
        </w:rPr>
      </w:pPr>
      <w:r>
        <w:rPr>
          <w:sz w:val="24"/>
        </w:rPr>
        <w:t>1998 - 38 million</w:t>
      </w:r>
    </w:p>
    <w:p>
      <w:pPr>
        <w:pStyle w:val="BodyText3"/>
        <w:tabs>
          <w:tab w:val="clear" w:pos="720"/>
          <w:tab w:val="left" w:pos="810" w:leader="none"/>
          <w:tab w:val="left" w:pos="1260" w:leader="none"/>
        </w:tabs>
        <w:ind w:start="7200" w:end="0"/>
        <w:rPr>
          <w:sz w:val="24"/>
        </w:rPr>
      </w:pPr>
      <w:r>
        <w:rPr>
          <w:sz w:val="24"/>
        </w:rPr>
        <w:t>1999 - 42 million</w:t>
      </w:r>
    </w:p>
    <w:p>
      <w:pPr>
        <w:pStyle w:val="BodyText3"/>
        <w:tabs>
          <w:tab w:val="clear" w:pos="720"/>
          <w:tab w:val="left" w:pos="810" w:leader="none"/>
          <w:tab w:val="left" w:pos="1260" w:leader="none"/>
        </w:tabs>
        <w:ind w:start="7200" w:end="0"/>
        <w:rPr>
          <w:sz w:val="24"/>
          <w:u w:val="single"/>
        </w:rPr>
      </w:pPr>
      <w:r>
        <w:rPr>
          <w:sz w:val="24"/>
          <w:u w:val="single"/>
        </w:rPr>
        <w:t>2000 - 49 million</w:t>
      </w:r>
    </w:p>
    <w:p>
      <w:pPr>
        <w:pStyle w:val="BodyText3"/>
        <w:tabs>
          <w:tab w:val="clear" w:pos="720"/>
          <w:tab w:val="left" w:pos="810" w:leader="none"/>
          <w:tab w:val="left" w:pos="1260" w:leader="none"/>
        </w:tabs>
        <w:ind w:start="7200" w:end="0"/>
        <w:rPr>
          <w:sz w:val="24"/>
        </w:rPr>
      </w:pPr>
      <w:r>
        <w:rPr>
          <w:sz w:val="24"/>
        </w:rPr>
        <w:t>2001 - 53 million</w:t>
      </w:r>
    </w:p>
    <w:p>
      <w:pPr>
        <w:pStyle w:val="BodyText3"/>
        <w:tabs>
          <w:tab w:val="clear" w:pos="720"/>
          <w:tab w:val="left" w:pos="810" w:leader="none"/>
          <w:tab w:val="left" w:pos="1260" w:leader="none"/>
        </w:tabs>
        <w:ind w:start="7200" w:end="0"/>
        <w:rPr>
          <w:sz w:val="24"/>
          <w:u w:val="single"/>
        </w:rPr>
      </w:pPr>
      <w:r>
        <w:rPr>
          <w:sz w:val="24"/>
          <w:u w:val="single"/>
        </w:rPr>
        <w:t>2002 - 61 million</w:t>
      </w:r>
    </w:p>
    <w:p>
      <w:pPr>
        <w:pStyle w:val="BodyText3"/>
        <w:tabs>
          <w:tab w:val="clear" w:pos="720"/>
          <w:tab w:val="left" w:pos="450" w:leader="none"/>
          <w:tab w:val="left" w:pos="810" w:leader="none"/>
          <w:tab w:val="left" w:pos="1260" w:leader="none"/>
        </w:tabs>
        <w:rPr/>
      </w:pPr>
      <w:r>
        <w:rPr/>
        <w:tab/>
        <w:tab/>
        <w:t xml:space="preserve">                                                                    (Source:  Jupiter Communications)</w:t>
      </w:r>
      <w:r>
        <w:br w:type="page"/>
      </w:r>
    </w:p>
    <w:p>
      <w:pPr>
        <w:pStyle w:val="BodyText3"/>
        <w:tabs>
          <w:tab w:val="clear" w:pos="720"/>
          <w:tab w:val="left" w:pos="450" w:leader="none"/>
          <w:tab w:val="left" w:pos="810" w:leader="none"/>
          <w:tab w:val="left" w:pos="1260" w:leader="none"/>
        </w:tabs>
        <w:jc w:val="center"/>
        <w:rPr>
          <w:b/>
          <w:sz w:val="32"/>
        </w:rPr>
      </w:pPr>
      <w:r>
        <w:rPr>
          <w:b/>
          <w:sz w:val="32"/>
        </w:rPr>
        <w:t>Extending Enron’s Products to the Internet</w:t>
      </w:r>
    </w:p>
    <w:p>
      <w:pPr>
        <w:pStyle w:val="BodyText3"/>
        <w:tabs>
          <w:tab w:val="clear" w:pos="720"/>
          <w:tab w:val="left" w:pos="450" w:leader="none"/>
          <w:tab w:val="left" w:pos="810" w:leader="none"/>
          <w:tab w:val="left" w:pos="1260" w:leader="none"/>
        </w:tabs>
        <w:rPr>
          <w:b/>
          <w:sz w:val="32"/>
        </w:rPr>
      </w:pPr>
      <w:r>
        <w:rPr>
          <w:b/>
          <w:sz w:val="32"/>
        </w:rPr>
      </w:r>
    </w:p>
    <w:p>
      <w:pPr>
        <w:pStyle w:val="BodyText3"/>
        <w:tabs>
          <w:tab w:val="clear" w:pos="720"/>
          <w:tab w:val="left" w:pos="450" w:leader="none"/>
          <w:tab w:val="left" w:pos="810" w:leader="none"/>
          <w:tab w:val="left" w:pos="1260" w:leader="none"/>
        </w:tabs>
        <w:rPr>
          <w:sz w:val="32"/>
        </w:rPr>
      </w:pPr>
      <w:r>
        <w:rPr>
          <w:sz w:val="32"/>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pPr>
      <w:r>
        <w:rPr/>
        <w:t>Work From Slide</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72"/>
        </w:numPr>
        <w:tabs>
          <w:tab w:val="clear" w:pos="720"/>
          <w:tab w:val="left" w:pos="810" w:leader="none"/>
          <w:tab w:val="left" w:pos="1260" w:leader="none"/>
          <w:tab w:val="left" w:pos="3690" w:leader="none"/>
        </w:tabs>
        <w:rPr/>
      </w:pPr>
      <w:r>
        <w:rPr/>
        <w:t>Product categories offered:</w:t>
      </w:r>
    </w:p>
    <w:p>
      <w:pPr>
        <w:pStyle w:val="BodyText3"/>
        <w:tabs>
          <w:tab w:val="clear" w:pos="720"/>
          <w:tab w:val="left" w:pos="810" w:leader="none"/>
          <w:tab w:val="left" w:pos="1260" w:leader="none"/>
          <w:tab w:val="left" w:pos="3690" w:leader="none"/>
        </w:tabs>
        <w:rPr/>
      </w:pPr>
      <w:r>
        <w:rPr/>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r>
      <w:r>
        <w:rPr>
          <w:u w:val="single"/>
        </w:rPr>
        <w:t>November 1999</w:t>
      </w:r>
      <w:r>
        <w:rPr/>
        <w:tab/>
        <w:t>U.S. Natural Gas</w:t>
        <w:tab/>
        <w:tab/>
      </w:r>
      <w:r>
        <w:rPr>
          <w:u w:val="single"/>
        </w:rPr>
        <w:t>January 2000</w:t>
      </w:r>
      <w:r>
        <w:rPr/>
        <w:tab/>
        <w:t>Continental European Power</w:t>
        <w:tab/>
        <w:tab/>
        <w:tab/>
        <w:tab/>
        <w:tab/>
        <w:t>Canadian Natural Gas</w:t>
        <w:tab/>
        <w:tab/>
        <w:tab/>
        <w:t>Continental European Gas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ab/>
        <w:tab/>
        <w:tab/>
        <w:t>Emissions</w:t>
        <w:tab/>
        <w:tab/>
        <w:tab/>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r>
      <w:r>
        <w:rPr>
          <w:u w:val="single"/>
        </w:rPr>
        <w:t>December 1999</w:t>
      </w:r>
      <w:r>
        <w:rPr/>
        <w:tab/>
        <w:t>Coal</w:t>
        <w:tab/>
        <w:tab/>
        <w:tab/>
        <w:t>LPG</w:t>
        <w:tab/>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Nordic Power</w:t>
        <w:tab/>
        <w:tab/>
        <w:tab/>
        <w:t>Oil &amp; Refined Products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Plastics</w:t>
        <w:tab/>
        <w:tab/>
        <w:tab/>
        <w:t>Petrochemicals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Pulp &amp; Paper</w:t>
        <w:tab/>
        <w:tab/>
        <w:tab/>
        <w:t>U.K. Gas &amp; Power</w:t>
        <w:tab/>
        <w:tab/>
        <w:tab/>
        <w:tab/>
        <w:tab/>
        <w:tab/>
        <w:tab/>
        <w:tab/>
        <w:tab/>
        <w:t>Weather</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r>
    </w:p>
    <w:p>
      <w:pPr>
        <w:pStyle w:val="BodyText3"/>
        <w:tabs>
          <w:tab w:val="clear" w:pos="720"/>
          <w:tab w:val="left" w:pos="450" w:leader="none"/>
          <w:tab w:val="left" w:pos="810" w:leader="none"/>
          <w:tab w:val="left" w:pos="1260" w:leader="none"/>
        </w:tabs>
        <w:rPr/>
      </w:pPr>
      <w:r>
        <w:rPr/>
        <w:tab/>
        <w:tab/>
      </w:r>
      <w:r>
        <w:rPr>
          <w:u w:val="single"/>
        </w:rPr>
        <w:t>March 2000</w:t>
      </w:r>
      <w:r>
        <w:rPr/>
        <w:t xml:space="preserve"> </w:t>
        <w:tab/>
        <w:tab/>
        <w:t>Australian Power</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2"/>
        </w:rPr>
      </w:pPr>
      <w:r>
        <w:rPr>
          <w:b/>
          <w:sz w:val="32"/>
        </w:rPr>
        <w:t>EnronOnline Versus Traditional Channels</w:t>
      </w:r>
    </w:p>
    <w:p>
      <w:pPr>
        <w:pStyle w:val="BodyText3"/>
        <w:tabs>
          <w:tab w:val="clear" w:pos="720"/>
          <w:tab w:val="left" w:pos="450" w:leader="none"/>
          <w:tab w:val="left" w:pos="810" w:leader="none"/>
          <w:tab w:val="left" w:pos="1260" w:leader="none"/>
        </w:tabs>
        <w:jc w:val="center"/>
        <w:rPr>
          <w:b/>
          <w:sz w:val="32"/>
        </w:rPr>
      </w:pPr>
      <w:r>
        <w:rPr>
          <w:b/>
          <w:sz w:val="32"/>
        </w:rPr>
        <w:t>(Currently)</w:t>
      </w:r>
    </w:p>
    <w:p>
      <w:pPr>
        <w:pStyle w:val="BodyText3"/>
        <w:tabs>
          <w:tab w:val="clear" w:pos="720"/>
          <w:tab w:val="left" w:pos="450" w:leader="none"/>
          <w:tab w:val="left" w:pos="810" w:leader="none"/>
          <w:tab w:val="left" w:pos="1260" w:leader="none"/>
        </w:tabs>
        <w:jc w:val="center"/>
        <w:rPr>
          <w:b/>
          <w:sz w:val="26"/>
        </w:rPr>
      </w:pPr>
      <w:r>
        <w:rPr>
          <w:b/>
          <w:sz w:val="26"/>
        </w:rPr>
      </w:r>
    </w:p>
    <w:p>
      <w:pPr>
        <w:pStyle w:val="BodyText3"/>
        <w:tabs>
          <w:tab w:val="clear" w:pos="720"/>
          <w:tab w:val="left" w:pos="450" w:leader="none"/>
          <w:tab w:val="left" w:pos="810" w:leader="none"/>
          <w:tab w:val="left" w:pos="1260" w:leader="none"/>
        </w:tabs>
        <w:rPr>
          <w:b/>
          <w:sz w:val="26"/>
        </w:rPr>
      </w:pPr>
      <w:r>
        <w:rPr>
          <w:b/>
          <w:sz w:val="26"/>
        </w:rPr>
      </w:r>
    </w:p>
    <w:p>
      <w:pPr>
        <w:pStyle w:val="BodyText3"/>
        <w:numPr>
          <w:ilvl w:val="0"/>
          <w:numId w:val="34"/>
        </w:numPr>
        <w:tabs>
          <w:tab w:val="clear" w:pos="720"/>
          <w:tab w:val="left" w:pos="810" w:leader="none"/>
          <w:tab w:val="left" w:pos="1260" w:leader="none"/>
        </w:tabs>
        <w:rPr/>
      </w:pPr>
      <w:r>
        <w:rPr/>
        <w:t xml:space="preserve">EnronOnline is </w:t>
      </w:r>
      <w:r>
        <w:rPr>
          <w:u w:val="single"/>
        </w:rPr>
        <w:t>free to use</w:t>
      </w:r>
      <w:r>
        <w:rPr/>
        <w:t xml:space="preserve"> and our bid-ask spreads are very tight and accurate due to Enron's ability to create liquidity and meet obligations</w:t>
        <w:br/>
      </w:r>
    </w:p>
    <w:p>
      <w:pPr>
        <w:pStyle w:val="BodyText3"/>
        <w:numPr>
          <w:ilvl w:val="0"/>
          <w:numId w:val="72"/>
        </w:numPr>
        <w:tabs>
          <w:tab w:val="clear" w:pos="720"/>
          <w:tab w:val="left" w:pos="810" w:leader="none"/>
          <w:tab w:val="left" w:pos="1260" w:leader="none"/>
        </w:tabs>
        <w:rPr/>
      </w:pPr>
      <w:r>
        <w:rPr/>
        <w:t>The smallest customers and the largest customers see and pay the same price for the same commodity!</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pPr>
      <w:r>
        <w:rPr/>
        <w:t>EnronOnline can immediately respond to product requests if a market in that product exists (this is one way new offerings came about)</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2"/>
        </w:rPr>
      </w:pPr>
      <w:r>
        <w:rPr>
          <w:b/>
          <w:sz w:val="32"/>
        </w:rPr>
        <w:t>Mass Customization – Enron Risk Products</w:t>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numPr>
          <w:ilvl w:val="0"/>
          <w:numId w:val="28"/>
        </w:numPr>
        <w:tabs>
          <w:tab w:val="clear" w:pos="720"/>
          <w:tab w:val="left" w:pos="810" w:leader="none"/>
          <w:tab w:val="left" w:pos="1260" w:leader="none"/>
        </w:tabs>
        <w:rPr/>
      </w:pPr>
      <w:r>
        <w:rPr/>
        <w:t>The growth of customized over-the-counter products at Enron has been incredible and has highlighted our response to the market.</w:t>
        <w:br/>
      </w:r>
    </w:p>
    <w:p>
      <w:pPr>
        <w:pStyle w:val="BodyText3"/>
        <w:tabs>
          <w:tab w:val="clear" w:pos="720"/>
          <w:tab w:val="left" w:pos="450" w:leader="none"/>
          <w:tab w:val="left" w:pos="810" w:leader="none"/>
          <w:tab w:val="left" w:pos="1260" w:leader="none"/>
        </w:tabs>
        <w:rPr/>
      </w:pPr>
      <w:r>
        <w:rPr/>
      </w:r>
    </w:p>
    <w:p>
      <w:pPr>
        <w:pStyle w:val="BodyText3"/>
        <w:numPr>
          <w:ilvl w:val="0"/>
          <w:numId w:val="28"/>
        </w:numPr>
        <w:tabs>
          <w:tab w:val="clear" w:pos="720"/>
          <w:tab w:val="left" w:pos="810" w:leader="none"/>
          <w:tab w:val="left" w:pos="1260" w:leader="none"/>
        </w:tabs>
        <w:rPr/>
      </w:pPr>
      <w:r>
        <w:rPr/>
        <w:t>The base has been energy products, but non-energy products are proliferating (bandwidth, weather derivatives, clean air credits, plastics, pulp and paper) and soon metals</w:t>
        <w:br/>
      </w:r>
    </w:p>
    <w:p>
      <w:pPr>
        <w:pStyle w:val="BodyText3"/>
        <w:tabs>
          <w:tab w:val="clear" w:pos="720"/>
          <w:tab w:val="left" w:pos="450" w:leader="none"/>
          <w:tab w:val="left" w:pos="810" w:leader="none"/>
          <w:tab w:val="left" w:pos="126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pPr>
      <w:r>
        <w:rPr/>
        <w:t xml:space="preserve">Strategic initiative to look for new businesses to move to EnronOnline such as we did with our purchase of the world's leading metal marketers, London-based </w:t>
      </w:r>
      <w:r>
        <w:rPr>
          <w:u w:val="single"/>
        </w:rPr>
        <w:t>MG plc</w:t>
      </w:r>
      <w:r>
        <w:rPr/>
        <w:t xml:space="preserve"> (metals = $120 billion market)</w:t>
      </w:r>
    </w:p>
    <w:p>
      <w:pPr>
        <w:pStyle w:val="BodyText3"/>
        <w:tabs>
          <w:tab w:val="clear" w:pos="720"/>
          <w:tab w:val="left" w:pos="450" w:leader="none"/>
          <w:tab w:val="left" w:pos="810" w:leader="none"/>
          <w:tab w:val="left" w:pos="1260" w:leader="none"/>
        </w:tabs>
        <w:rPr/>
      </w:pPr>
      <w:r>
        <w:rPr/>
      </w:r>
      <w:r>
        <w:br w:type="page"/>
      </w:r>
    </w:p>
    <w:p>
      <w:pPr>
        <w:pStyle w:val="Normal"/>
        <w:jc w:val="center"/>
        <w:rPr>
          <w:b/>
          <w:sz w:val="32"/>
        </w:rPr>
      </w:pPr>
      <w:r>
        <w:rPr>
          <w:b/>
          <w:sz w:val="32"/>
        </w:rPr>
        <w:t>Gas Pipelines</w:t>
      </w:r>
    </w:p>
    <w:p>
      <w:pPr>
        <w:pStyle w:val="Normal"/>
        <w:jc w:val="center"/>
        <w:rPr>
          <w:b/>
          <w:sz w:val="32"/>
        </w:rPr>
      </w:pPr>
      <w:r>
        <w:rPr>
          <w:b/>
          <w:sz w:val="32"/>
        </w:rPr>
        <w:t>[Evolution Slide]</w:t>
      </w:r>
    </w:p>
    <w:p>
      <w:pPr>
        <w:pStyle w:val="Normal"/>
        <w:jc w:val="center"/>
        <w:rPr>
          <w:b/>
          <w:sz w:val="32"/>
        </w:rPr>
      </w:pPr>
      <w:r>
        <w:rPr>
          <w:b/>
          <w:sz w:val="32"/>
        </w:rPr>
      </w:r>
    </w:p>
    <w:p>
      <w:pPr>
        <w:pStyle w:val="Normal"/>
        <w:jc w:val="center"/>
        <w:rPr>
          <w:b/>
          <w:sz w:val="32"/>
        </w:rPr>
      </w:pPr>
      <w:r>
        <w:rPr>
          <w:b/>
          <w:sz w:val="32"/>
        </w:rPr>
      </w:r>
    </w:p>
    <w:p>
      <w:pPr>
        <w:pStyle w:val="Normal"/>
        <w:numPr>
          <w:ilvl w:val="0"/>
          <w:numId w:val="42"/>
        </w:numPr>
        <w:tabs>
          <w:tab w:val="clear" w:pos="720"/>
          <w:tab w:val="left" w:pos="360" w:leader="none"/>
        </w:tabs>
        <w:rPr>
          <w:sz w:val="28"/>
        </w:rPr>
      </w:pPr>
      <w:r>
        <w:rPr>
          <w:sz w:val="28"/>
        </w:rPr>
        <w:t xml:space="preserve">What today may seem like a “revolution” in the energy industry has been </w:t>
      </w:r>
      <w:r>
        <w:rPr>
          <w:sz w:val="28"/>
          <w:u w:val="single"/>
        </w:rPr>
        <w:t>an evolution of new product development within Enron</w:t>
      </w:r>
      <w:r>
        <w:rPr>
          <w:sz w:val="28"/>
        </w:rPr>
        <w:br/>
      </w:r>
    </w:p>
    <w:p>
      <w:pPr>
        <w:pStyle w:val="Normal"/>
        <w:numPr>
          <w:ilvl w:val="0"/>
          <w:numId w:val="42"/>
        </w:numPr>
        <w:tabs>
          <w:tab w:val="clear" w:pos="720"/>
          <w:tab w:val="left" w:pos="360" w:leader="none"/>
        </w:tabs>
        <w:rPr>
          <w:sz w:val="28"/>
        </w:rPr>
      </w:pPr>
      <w:r>
        <w:rPr>
          <w:sz w:val="28"/>
        </w:rPr>
        <w:t>This slide may be called our “economies of scope” slide, although economies-of-scale is part of our new-product success as well</w:t>
      </w:r>
    </w:p>
    <w:p>
      <w:pPr>
        <w:pStyle w:val="Normal"/>
        <w:tabs>
          <w:tab w:val="clear" w:pos="720"/>
          <w:tab w:val="left" w:pos="360" w:leader="none"/>
        </w:tabs>
        <w:rPr>
          <w:sz w:val="28"/>
        </w:rPr>
      </w:pPr>
      <w:r>
        <w:rPr>
          <w:sz w:val="28"/>
        </w:rPr>
      </w:r>
    </w:p>
    <w:p>
      <w:pPr>
        <w:pStyle w:val="Normal"/>
        <w:numPr>
          <w:ilvl w:val="0"/>
          <w:numId w:val="69"/>
        </w:numPr>
        <w:tabs>
          <w:tab w:val="clear" w:pos="720"/>
          <w:tab w:val="left" w:pos="360" w:leader="none"/>
        </w:tabs>
        <w:rPr>
          <w:sz w:val="28"/>
        </w:rPr>
      </w:pPr>
      <w:r>
        <w:rPr>
          <w:sz w:val="28"/>
        </w:rPr>
        <w:t xml:space="preserve">Enron began with gas pipelines that sold a </w:t>
      </w:r>
      <w:r>
        <w:rPr>
          <w:sz w:val="28"/>
          <w:u w:val="single"/>
        </w:rPr>
        <w:t>bundled</w:t>
      </w:r>
      <w:r>
        <w:rPr>
          <w:sz w:val="28"/>
        </w:rPr>
        <w:t xml:space="preserve"> product – the commodity plus transportation.  We essentially bought the gas, added transportation, and sold the gas at the city gate</w:t>
      </w:r>
    </w:p>
    <w:p>
      <w:pPr>
        <w:pStyle w:val="Normal"/>
        <w:tabs>
          <w:tab w:val="clear" w:pos="720"/>
          <w:tab w:val="left" w:pos="360" w:leader="none"/>
        </w:tabs>
        <w:rPr>
          <w:sz w:val="28"/>
        </w:rPr>
      </w:pPr>
      <w:r>
        <w:rPr>
          <w:sz w:val="28"/>
        </w:rPr>
      </w:r>
    </w:p>
    <w:p>
      <w:pPr>
        <w:pStyle w:val="Normal"/>
        <w:numPr>
          <w:ilvl w:val="0"/>
          <w:numId w:val="64"/>
        </w:numPr>
        <w:tabs>
          <w:tab w:val="clear" w:pos="720"/>
          <w:tab w:val="left" w:pos="360" w:leader="none"/>
        </w:tabs>
        <w:rPr>
          <w:sz w:val="28"/>
          <w:u w:val="single"/>
        </w:rPr>
      </w:pPr>
      <w:r>
        <w:rPr>
          <w:sz w:val="28"/>
        </w:rPr>
        <w:t xml:space="preserve">The open-access regulation model—where commodity suppliers have nondiscriminatory access to transmission or distribution infrastructure–created two profit centers for Enron in place of one;  the pipeline and the commodity.  And one of these profit centers was </w:t>
      </w:r>
      <w:r>
        <w:rPr>
          <w:sz w:val="28"/>
          <w:u w:val="single"/>
        </w:rPr>
        <w:t>unregulated</w:t>
      </w:r>
      <w:r>
        <w:rPr>
          <w:sz w:val="28"/>
        </w:rPr>
        <w:t>.</w:t>
      </w:r>
    </w:p>
    <w:p>
      <w:pPr>
        <w:pStyle w:val="Normal"/>
        <w:tabs>
          <w:tab w:val="clear" w:pos="720"/>
          <w:tab w:val="left" w:pos="360" w:leader="none"/>
        </w:tabs>
        <w:rPr>
          <w:sz w:val="28"/>
          <w:u w:val="single"/>
        </w:rPr>
      </w:pPr>
      <w:r>
        <w:rPr>
          <w:sz w:val="28"/>
          <w:u w:val="single"/>
        </w:rPr>
      </w:r>
    </w:p>
    <w:p>
      <w:pPr>
        <w:pStyle w:val="Normal"/>
        <w:numPr>
          <w:ilvl w:val="0"/>
          <w:numId w:val="48"/>
        </w:numPr>
        <w:tabs>
          <w:tab w:val="clear" w:pos="720"/>
          <w:tab w:val="left" w:pos="360" w:leader="none"/>
        </w:tabs>
        <w:rPr>
          <w:sz w:val="28"/>
        </w:rPr>
      </w:pPr>
      <w:r>
        <w:rPr>
          <w:sz w:val="28"/>
        </w:rPr>
        <w:t xml:space="preserve">Our open-access profit centers began with wholesale natural gas in the U.S., expanded to wholesale electricity in the U.S. and then expanded to the wholesale gas and power market in Europe.  This will eventually be a </w:t>
      </w:r>
      <w:r>
        <w:rPr>
          <w:sz w:val="28"/>
          <w:u w:val="single"/>
        </w:rPr>
        <w:t>global</w:t>
      </w:r>
      <w:r>
        <w:rPr>
          <w:sz w:val="28"/>
        </w:rPr>
        <w:t xml:space="preserve"> and </w:t>
      </w:r>
      <w:r>
        <w:rPr>
          <w:sz w:val="28"/>
          <w:u w:val="single"/>
        </w:rPr>
        <w:t>retail</w:t>
      </w:r>
      <w:r>
        <w:rPr>
          <w:sz w:val="28"/>
        </w:rPr>
        <w:t xml:space="preserve"> market as well.</w:t>
      </w:r>
    </w:p>
    <w:p>
      <w:pPr>
        <w:pStyle w:val="Normal"/>
        <w:tabs>
          <w:tab w:val="clear" w:pos="720"/>
          <w:tab w:val="left" w:pos="360" w:leader="none"/>
        </w:tabs>
        <w:rPr>
          <w:sz w:val="28"/>
        </w:rPr>
      </w:pPr>
      <w:r>
        <w:rPr>
          <w:sz w:val="28"/>
        </w:rPr>
      </w:r>
    </w:p>
    <w:p>
      <w:pPr>
        <w:pStyle w:val="Normal"/>
        <w:numPr>
          <w:ilvl w:val="0"/>
          <w:numId w:val="22"/>
        </w:numPr>
        <w:tabs>
          <w:tab w:val="clear" w:pos="720"/>
          <w:tab w:val="left" w:pos="360" w:leader="none"/>
        </w:tabs>
        <w:rPr>
          <w:sz w:val="28"/>
        </w:rPr>
      </w:pPr>
      <w:r>
        <w:rPr>
          <w:sz w:val="28"/>
        </w:rPr>
        <w:t>The risk-management skills we created around these energy products led to our total energy outsourcing services first offered in 1997</w:t>
      </w:r>
    </w:p>
    <w:p>
      <w:pPr>
        <w:pStyle w:val="Normal"/>
        <w:tabs>
          <w:tab w:val="clear" w:pos="720"/>
          <w:tab w:val="left" w:pos="360" w:leader="none"/>
        </w:tabs>
        <w:rPr>
          <w:sz w:val="28"/>
        </w:rPr>
      </w:pPr>
      <w:r>
        <w:rPr>
          <w:sz w:val="28"/>
        </w:rPr>
      </w:r>
    </w:p>
    <w:p>
      <w:pPr>
        <w:pStyle w:val="Normal"/>
        <w:numPr>
          <w:ilvl w:val="0"/>
          <w:numId w:val="16"/>
        </w:numPr>
        <w:rPr>
          <w:sz w:val="28"/>
        </w:rPr>
      </w:pPr>
      <w:r>
        <w:rPr>
          <w:sz w:val="28"/>
        </w:rPr>
        <w:t>The latest development, as discussed has been moving online and creating new products to transact online</w:t>
      </w:r>
      <w:r>
        <w:br w:type="page"/>
      </w:r>
    </w:p>
    <w:p>
      <w:pPr>
        <w:pStyle w:val="FootnoteText"/>
        <w:jc w:val="center"/>
        <w:rPr>
          <w:b/>
          <w:sz w:val="32"/>
        </w:rPr>
      </w:pPr>
      <w:r>
        <w:rPr>
          <w:b/>
          <w:sz w:val="32"/>
        </w:rPr>
        <w:t>Creating a New Energy Model</w:t>
      </w:r>
    </w:p>
    <w:p>
      <w:pPr>
        <w:pStyle w:val="Normal"/>
        <w:jc w:val="center"/>
        <w:rPr>
          <w:b/>
          <w:sz w:val="32"/>
        </w:rPr>
      </w:pPr>
      <w:r>
        <w:rPr>
          <w:b/>
          <w:sz w:val="32"/>
        </w:rPr>
      </w:r>
    </w:p>
    <w:p>
      <w:pPr>
        <w:pStyle w:val="Normal"/>
        <w:numPr>
          <w:ilvl w:val="0"/>
          <w:numId w:val="35"/>
        </w:numPr>
        <w:rPr/>
      </w:pPr>
      <w:r>
        <w:rPr/>
        <w:t xml:space="preserve">Until recently, the </w:t>
      </w:r>
      <w:r>
        <w:rPr>
          <w:b/>
        </w:rPr>
        <w:t xml:space="preserve">Traditional Energy Major </w:t>
      </w:r>
      <w:r>
        <w:rPr/>
        <w:t xml:space="preserve">is exemplified by the </w:t>
      </w:r>
      <w:r>
        <w:rPr>
          <w:u w:val="single"/>
        </w:rPr>
        <w:t>oil majors</w:t>
      </w:r>
      <w:r>
        <w:rPr/>
        <w:t xml:space="preserve"> – firms such as ExxonMobil, Royal Dutch Shell, Chevron:</w:t>
      </w:r>
    </w:p>
    <w:p>
      <w:pPr>
        <w:pStyle w:val="Normal"/>
        <w:ind w:start="432" w:end="0"/>
        <w:rPr/>
      </w:pPr>
      <w:r>
        <w:rPr/>
      </w:r>
    </w:p>
    <w:p>
      <w:pPr>
        <w:pStyle w:val="Normal"/>
        <w:ind w:firstLine="288" w:start="432" w:end="0"/>
        <w:rPr/>
      </w:pPr>
      <w:r>
        <w:rPr>
          <w:i/>
        </w:rPr>
        <w:t xml:space="preserve">Capital intensity </w:t>
      </w:r>
      <w:r>
        <w:rPr/>
        <w:t xml:space="preserve">(producing platforms, pipelines, tankers, refineries, service stations as well as chemical/petrochemical </w:t>
      </w:r>
    </w:p>
    <w:p>
      <w:pPr>
        <w:pStyle w:val="Normal"/>
        <w:ind w:firstLine="288" w:start="432" w:end="0"/>
        <w:rPr/>
      </w:pPr>
      <w:r>
        <w:rPr/>
        <w:t>facilities).  Have traditionally led with assets and added knowledge value around it</w:t>
      </w:r>
    </w:p>
    <w:p>
      <w:pPr>
        <w:pStyle w:val="Normal"/>
        <w:ind w:firstLine="288" w:start="432" w:end="0"/>
        <w:rPr/>
      </w:pPr>
      <w:r>
        <w:rPr/>
      </w:r>
    </w:p>
    <w:p>
      <w:pPr>
        <w:pStyle w:val="Normal"/>
        <w:spacing w:lineRule="auto" w:line="360"/>
        <w:ind w:firstLine="288" w:start="432" w:end="0"/>
        <w:rPr/>
      </w:pPr>
      <w:r>
        <w:rPr>
          <w:i/>
        </w:rPr>
        <w:t>Vertical integration</w:t>
      </w:r>
      <w:r>
        <w:rPr/>
        <w:t xml:space="preserve"> (they liked to do it all and had the brute ability to enter markets with major investments)</w:t>
      </w:r>
    </w:p>
    <w:p>
      <w:pPr>
        <w:pStyle w:val="Normal"/>
        <w:spacing w:lineRule="auto" w:line="360"/>
        <w:ind w:firstLine="288" w:start="432" w:end="0"/>
        <w:rPr/>
      </w:pPr>
      <w:r>
        <w:rPr>
          <w:i/>
        </w:rPr>
        <w:t xml:space="preserve">Geographical dominance </w:t>
      </w:r>
      <w:r>
        <w:rPr/>
        <w:t>(many state-owned energy companies have had a large geographical franchise)</w:t>
      </w:r>
    </w:p>
    <w:p>
      <w:pPr>
        <w:pStyle w:val="Normal"/>
        <w:ind w:firstLine="360" w:start="360" w:end="0"/>
        <w:rPr/>
      </w:pPr>
      <w:r>
        <w:rPr>
          <w:i/>
        </w:rPr>
        <w:t>commodity price dependence</w:t>
      </w:r>
      <w:r>
        <w:rPr/>
        <w:t xml:space="preserve"> with quarterly earnings moving in lockstep with oil, gas or  </w:t>
      </w:r>
    </w:p>
    <w:p>
      <w:pPr>
        <w:pStyle w:val="Normal"/>
        <w:spacing w:lineRule="auto" w:line="360"/>
        <w:ind w:firstLine="288" w:start="432" w:end="0"/>
        <w:rPr>
          <w:i/>
          <w:i/>
        </w:rPr>
      </w:pPr>
      <w:r>
        <w:rPr/>
        <w:t>petrochemical prices</w:t>
      </w:r>
    </w:p>
    <w:p>
      <w:pPr>
        <w:pStyle w:val="Normal"/>
        <w:spacing w:lineRule="auto" w:line="360"/>
        <w:ind w:firstLine="288" w:start="432" w:end="0"/>
        <w:rPr/>
      </w:pPr>
      <w:r>
        <w:rPr>
          <w:i/>
        </w:rPr>
        <w:t xml:space="preserve">Bureaucratic structure </w:t>
      </w:r>
      <w:r>
        <w:rPr/>
        <w:t>(multiple, hierarchical management levels, formal protocol, and seniority intensive)</w:t>
      </w:r>
    </w:p>
    <w:p>
      <w:pPr>
        <w:pStyle w:val="Normal"/>
        <w:ind w:firstLine="288" w:start="432" w:end="0"/>
        <w:rPr/>
      </w:pPr>
      <w:r>
        <w:rPr/>
        <w:t xml:space="preserve">This model is alive and well today, and there is a very real role for it, but there is also a different emerging </w:t>
      </w:r>
    </w:p>
    <w:p>
      <w:pPr>
        <w:pStyle w:val="Normal"/>
        <w:ind w:firstLine="288" w:start="432" w:end="0"/>
        <w:rPr/>
      </w:pPr>
      <w:r>
        <w:rPr/>
        <w:t>model of an energy major that Enron is helping to define</w:t>
      </w:r>
    </w:p>
    <w:p>
      <w:pPr>
        <w:pStyle w:val="Normal"/>
        <w:ind w:firstLine="288" w:start="432" w:end="0"/>
        <w:rPr/>
      </w:pPr>
      <w:r>
        <w:rPr/>
      </w:r>
    </w:p>
    <w:p>
      <w:pPr>
        <w:pStyle w:val="Normal"/>
        <w:numPr>
          <w:ilvl w:val="0"/>
          <w:numId w:val="30"/>
        </w:numPr>
        <w:tabs>
          <w:tab w:val="clear" w:pos="720"/>
          <w:tab w:val="left" w:pos="522" w:leader="none"/>
        </w:tabs>
        <w:rPr/>
      </w:pPr>
      <w:r>
        <w:rPr/>
        <w:t xml:space="preserve">The </w:t>
      </w:r>
      <w:r>
        <w:rPr>
          <w:b/>
        </w:rPr>
        <w:t xml:space="preserve">New Energy Major </w:t>
      </w:r>
      <w:r>
        <w:rPr/>
        <w:t>such as Enron has a new orientation.  It is:</w:t>
      </w:r>
    </w:p>
    <w:p>
      <w:pPr>
        <w:pStyle w:val="Normal"/>
        <w:ind w:start="720" w:end="0"/>
        <w:rPr/>
      </w:pPr>
      <w:r>
        <w:rPr>
          <w:i/>
        </w:rPr>
        <w:t>Knowledge-based</w:t>
      </w:r>
      <w:r>
        <w:rPr/>
        <w:t xml:space="preserve"> with an emphasis on computer technology, specialized intellectual capital, and Internet applications. From this knowledge base, strategic hard assets are acquired or constructed.  </w:t>
      </w:r>
    </w:p>
    <w:p>
      <w:pPr>
        <w:pStyle w:val="Normal"/>
        <w:ind w:start="720" w:end="0"/>
        <w:rPr>
          <w:i/>
          <w:i/>
        </w:rPr>
      </w:pPr>
      <w:r>
        <w:rPr>
          <w:i/>
        </w:rPr>
      </w:r>
    </w:p>
    <w:p>
      <w:pPr>
        <w:pStyle w:val="Normal"/>
        <w:ind w:start="720" w:end="0"/>
        <w:rPr/>
      </w:pPr>
      <w:r>
        <w:rPr>
          <w:i/>
        </w:rPr>
        <w:t>Network oriented</w:t>
      </w:r>
      <w:r>
        <w:rPr/>
        <w:t xml:space="preserve"> by bringing buyers and sellers of a commodity together in new ways – much of it in markets once closed by public utility regulation (gas and electricity).  </w:t>
      </w:r>
    </w:p>
    <w:p>
      <w:pPr>
        <w:pStyle w:val="Normal"/>
        <w:ind w:start="720" w:end="0"/>
        <w:rPr>
          <w:i/>
          <w:i/>
        </w:rPr>
      </w:pPr>
      <w:r>
        <w:rPr>
          <w:i/>
        </w:rPr>
      </w:r>
    </w:p>
    <w:p>
      <w:pPr>
        <w:pStyle w:val="Normal"/>
        <w:ind w:start="720" w:end="0"/>
        <w:rPr/>
      </w:pPr>
      <w:r>
        <w:rPr>
          <w:i/>
        </w:rPr>
        <w:t>Global online reach</w:t>
      </w:r>
      <w:r>
        <w:rPr/>
        <w:t xml:space="preserve"> thanks to the internet</w:t>
      </w:r>
    </w:p>
    <w:p>
      <w:pPr>
        <w:pStyle w:val="Normal"/>
        <w:ind w:start="720" w:end="0"/>
        <w:rPr>
          <w:i/>
          <w:i/>
        </w:rPr>
      </w:pPr>
      <w:r>
        <w:rPr>
          <w:i/>
        </w:rPr>
      </w:r>
    </w:p>
    <w:p>
      <w:pPr>
        <w:pStyle w:val="Normal"/>
        <w:ind w:start="720" w:end="0"/>
        <w:rPr/>
      </w:pPr>
      <w:r>
        <w:rPr>
          <w:i/>
        </w:rPr>
        <w:t>Differentiation dependent</w:t>
      </w:r>
      <w:r>
        <w:rPr/>
        <w:t xml:space="preserve"> where new products and services create the necessary volume and margins</w:t>
      </w:r>
    </w:p>
    <w:p>
      <w:pPr>
        <w:pStyle w:val="Normal"/>
        <w:ind w:start="720" w:end="0"/>
        <w:rPr/>
      </w:pPr>
      <w:r>
        <w:rPr/>
      </w:r>
    </w:p>
    <w:p>
      <w:pPr>
        <w:pStyle w:val="BodyText3"/>
        <w:tabs>
          <w:tab w:val="clear" w:pos="720"/>
          <w:tab w:val="left" w:pos="450" w:leader="none"/>
          <w:tab w:val="left" w:pos="810" w:leader="none"/>
          <w:tab w:val="left" w:pos="1260" w:leader="none"/>
        </w:tabs>
        <w:ind w:start="720" w:end="0"/>
        <w:rPr/>
      </w:pPr>
      <w:r>
        <w:rPr>
          <w:i/>
          <w:sz w:val="24"/>
        </w:rPr>
        <w:t>Entrepreneurial corporate culture</w:t>
      </w:r>
      <w:r>
        <w:rPr>
          <w:sz w:val="24"/>
        </w:rPr>
        <w:t xml:space="preserve"> where the top young business students choose to enter the energy business rather and Wall Street or Consulting Street</w:t>
      </w:r>
      <w:r>
        <w:br w:type="page"/>
      </w:r>
    </w:p>
    <w:p>
      <w:pPr>
        <w:pStyle w:val="Normal"/>
        <w:jc w:val="center"/>
        <w:rPr>
          <w:sz w:val="32"/>
        </w:rPr>
      </w:pPr>
      <w:r>
        <w:rPr>
          <w:b/>
          <w:sz w:val="32"/>
        </w:rPr>
        <w:t>Enron IT Expenditures:  New Businesses</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numPr>
          <w:ilvl w:val="0"/>
          <w:numId w:val="23"/>
        </w:numPr>
        <w:rPr>
          <w:sz w:val="28"/>
        </w:rPr>
      </w:pPr>
      <w:r>
        <w:rPr>
          <w:sz w:val="28"/>
        </w:rPr>
        <w:t xml:space="preserve">Enron has invested heavily in new and modern businesses to complement our intellectual capital. Some were mentioned at the beginning of the presentation.  We have expended nearly $600 million - and nearly $400 million in the last 3 years - on computer systems for our new businesses. </w:t>
      </w:r>
    </w:p>
    <w:p>
      <w:pPr>
        <w:pStyle w:val="Normal"/>
        <w:rPr>
          <w:sz w:val="28"/>
        </w:rPr>
      </w:pPr>
      <w:r>
        <w:rPr>
          <w:sz w:val="28"/>
        </w:rPr>
      </w:r>
    </w:p>
    <w:p>
      <w:pPr>
        <w:pStyle w:val="Normal"/>
        <w:numPr>
          <w:ilvl w:val="0"/>
          <w:numId w:val="23"/>
        </w:numPr>
        <w:rPr>
          <w:sz w:val="28"/>
        </w:rPr>
      </w:pPr>
      <w:r>
        <w:rPr>
          <w:sz w:val="28"/>
        </w:rPr>
        <w:t xml:space="preserve">We will have our largest IT year this year with the $229 million shown here as well as at least $96 million for IT equipment in our new building. </w:t>
      </w:r>
    </w:p>
    <w:p>
      <w:pPr>
        <w:pStyle w:val="Normal"/>
        <w:rPr>
          <w:sz w:val="28"/>
        </w:rPr>
      </w:pPr>
      <w:r>
        <w:rPr>
          <w:sz w:val="28"/>
        </w:rPr>
      </w:r>
    </w:p>
    <w:p>
      <w:pPr>
        <w:pStyle w:val="Normal"/>
        <w:numPr>
          <w:ilvl w:val="0"/>
          <w:numId w:val="19"/>
        </w:numPr>
        <w:ind w:hanging="360" w:start="360" w:end="-90"/>
        <w:rPr>
          <w:sz w:val="28"/>
        </w:rPr>
      </w:pPr>
      <w:r>
        <w:rPr>
          <w:sz w:val="28"/>
        </w:rPr>
        <w:t xml:space="preserve">This investment has created an </w:t>
      </w:r>
      <w:r>
        <w:rPr>
          <w:sz w:val="28"/>
          <w:u w:val="single"/>
        </w:rPr>
        <w:t>Information Technology Architecture</w:t>
      </w:r>
      <w:r>
        <w:rPr>
          <w:sz w:val="28"/>
        </w:rPr>
        <w:t xml:space="preserve"> that offers Enron a global, real-time databank of all information needed for any marketing transaction.  </w:t>
      </w:r>
    </w:p>
    <w:p>
      <w:pPr>
        <w:pStyle w:val="BodyText3"/>
        <w:tabs>
          <w:tab w:val="left" w:pos="720" w:leader="none"/>
          <w:tab w:val="left" w:pos="1080" w:leader="none"/>
          <w:tab w:val="left" w:pos="4320" w:leader="none"/>
        </w:tabs>
        <w:rPr/>
      </w:pPr>
      <w:r>
        <w:rPr/>
        <w:tab/>
        <w:t>-</w:t>
        <w:tab/>
        <w:t>GasDesk (natural gas trading)</w:t>
      </w:r>
    </w:p>
    <w:p>
      <w:pPr>
        <w:pStyle w:val="BodyText3"/>
        <w:tabs>
          <w:tab w:val="left" w:pos="720" w:leader="none"/>
          <w:tab w:val="left" w:pos="1080" w:leader="none"/>
          <w:tab w:val="left" w:pos="4320" w:leader="none"/>
        </w:tabs>
        <w:rPr/>
      </w:pPr>
      <w:r>
        <w:rPr/>
        <w:tab/>
        <w:t>-</w:t>
        <w:tab/>
        <w:t>ElectricityDesk (electricity trading)</w:t>
      </w:r>
    </w:p>
    <w:p>
      <w:pPr>
        <w:pStyle w:val="Normal"/>
        <w:tabs>
          <w:tab w:val="left" w:pos="720" w:leader="none"/>
          <w:tab w:val="left" w:pos="1080" w:leader="none"/>
          <w:tab w:val="left" w:pos="4320" w:leader="none"/>
        </w:tabs>
        <w:rPr>
          <w:sz w:val="28"/>
        </w:rPr>
      </w:pPr>
      <w:r>
        <w:rPr>
          <w:sz w:val="28"/>
        </w:rPr>
        <w:tab/>
        <w:t>-</w:t>
        <w:tab/>
        <w:t>RetailDesk</w:t>
      </w:r>
    </w:p>
    <w:p>
      <w:pPr>
        <w:pStyle w:val="Normal"/>
        <w:ind w:firstLine="432" w:end="0"/>
        <w:rPr/>
      </w:pPr>
      <w:r>
        <w:rPr/>
        <w:t xml:space="preserve">    </w:t>
      </w:r>
      <w:r>
        <w:rPr/>
        <w:t xml:space="preserve">-     </w:t>
      </w:r>
      <w:r>
        <w:rPr>
          <w:sz w:val="28"/>
        </w:rPr>
        <w:t>GenDesk (physical energy risk management)</w:t>
      </w:r>
    </w:p>
    <w:p>
      <w:pPr>
        <w:pStyle w:val="Normal"/>
        <w:rPr>
          <w:sz w:val="32"/>
        </w:rPr>
      </w:pPr>
      <w:r>
        <w:rPr>
          <w:sz w:val="32"/>
        </w:rPr>
      </w:r>
    </w:p>
    <w:p>
      <w:pPr>
        <w:pStyle w:val="BodyText3"/>
        <w:rPr>
          <w:sz w:val="32"/>
        </w:rPr>
      </w:pPr>
      <w:r>
        <w:rPr>
          <w:sz w:val="32"/>
        </w:rPr>
      </w:r>
    </w:p>
    <w:p>
      <w:pPr>
        <w:pStyle w:val="BodyText3"/>
        <w:ind w:start="2160" w:end="0"/>
        <w:rPr/>
      </w:pPr>
      <w:r>
        <w:rPr/>
      </w:r>
      <w:r>
        <w:br w:type="page"/>
      </w:r>
    </w:p>
    <w:p>
      <w:pPr>
        <w:pStyle w:val="BodyText3"/>
        <w:tabs>
          <w:tab w:val="clear" w:pos="720"/>
          <w:tab w:val="left" w:pos="450" w:leader="none"/>
          <w:tab w:val="left" w:pos="810" w:leader="none"/>
          <w:tab w:val="left" w:pos="1260" w:leader="none"/>
          <w:tab w:val="left" w:pos="13500" w:leader="none"/>
        </w:tabs>
        <w:ind w:end="-450"/>
        <w:jc w:val="center"/>
        <w:rPr>
          <w:b/>
        </w:rPr>
      </w:pPr>
      <w:r>
        <w:rPr>
          <w:b/>
          <w:sz w:val="32"/>
        </w:rPr>
        <w:t>Intellectual Capital</w:t>
      </w:r>
    </w:p>
    <w:p>
      <w:pPr>
        <w:pStyle w:val="Normal"/>
        <w:jc w:val="center"/>
        <w:rPr>
          <w:b/>
          <w:sz w:val="32"/>
        </w:rPr>
      </w:pPr>
      <w:r>
        <w:rPr>
          <w:b/>
          <w:sz w:val="32"/>
        </w:rPr>
      </w:r>
    </w:p>
    <w:p>
      <w:pPr>
        <w:pStyle w:val="Normal"/>
        <w:rPr/>
      </w:pPr>
      <w:r>
        <w:rPr/>
        <w:t>[work from slide]</w:t>
      </w:r>
    </w:p>
    <w:p>
      <w:pPr>
        <w:pStyle w:val="Normal"/>
        <w:rPr/>
      </w:pPr>
      <w:r>
        <w:rPr/>
      </w:r>
    </w:p>
    <w:p>
      <w:pPr>
        <w:pStyle w:val="Normal"/>
        <w:numPr>
          <w:ilvl w:val="0"/>
          <w:numId w:val="12"/>
        </w:numPr>
        <w:rPr/>
      </w:pPr>
      <w:r>
        <w:rPr/>
        <w:t>Our analyst/associate program began in 1991 with 14 hires and has expanded since.  Between 1991 and 2000, 765 associates and 469 analysts have been hired into the program</w:t>
      </w:r>
    </w:p>
    <w:p>
      <w:pPr>
        <w:pStyle w:val="Normal"/>
        <w:rPr/>
      </w:pPr>
      <w:r>
        <w:rPr/>
      </w:r>
    </w:p>
    <w:p>
      <w:pPr>
        <w:pStyle w:val="Normal"/>
        <w:numPr>
          <w:ilvl w:val="0"/>
          <w:numId w:val="12"/>
        </w:numPr>
        <w:rPr/>
      </w:pPr>
      <w:r>
        <w:rPr/>
        <w:t>It has been an important factor in creating our competitive advantage.  We have been able to attract top students and professionals to experience Houston and Enron.</w:t>
        <w:br/>
      </w:r>
    </w:p>
    <w:p>
      <w:pPr>
        <w:pStyle w:val="BodyText3"/>
        <w:numPr>
          <w:ilvl w:val="0"/>
          <w:numId w:val="57"/>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sz w:val="24"/>
        </w:rPr>
      </w:pPr>
      <w:r>
        <w:rPr>
          <w:sz w:val="24"/>
        </w:rPr>
        <w:t>Perhaps the largest advantage of this program is that it allows new hires to rotate among business units before choosing a full-time position.</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24"/>
        </w:rPr>
      </w:pPr>
      <w:r>
        <w:rPr>
          <w:sz w:val="24"/>
        </w:rPr>
      </w:r>
    </w:p>
    <w:p>
      <w:pPr>
        <w:pStyle w:val="BodyText3"/>
        <w:numPr>
          <w:ilvl w:val="0"/>
          <w:numId w:val="76"/>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sz w:val="24"/>
        </w:rPr>
      </w:pPr>
      <w:r>
        <w:rPr>
          <w:sz w:val="24"/>
        </w:rPr>
        <w:t>This year, we will hire close to 300 associates and analysts.  A few more facts…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start="4140" w:end="810"/>
        <w:rPr>
          <w:sz w:val="24"/>
        </w:rPr>
      </w:pPr>
      <w:r>
        <w:rPr>
          <w:sz w:val="24"/>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pPr>
      <w:r>
        <w:rPr/>
        <w:tab/>
        <w:tab/>
        <w:tab/>
        <w:tab/>
        <w:tab/>
        <w:tab/>
        <w:tab/>
        <w:tab/>
        <w:tab/>
        <w:tab/>
        <w:tab/>
      </w:r>
    </w:p>
    <w:tbl>
      <w:tblPr>
        <w:tblW w:w="9390" w:type="dxa"/>
        <w:jc w:val="start"/>
        <w:tblInd w:w="-30" w:type="dxa"/>
        <w:tblLayout w:type="fixed"/>
        <w:tblCellMar>
          <w:top w:w="0" w:type="dxa"/>
          <w:start w:w="0" w:type="dxa"/>
          <w:bottom w:w="0" w:type="dxa"/>
          <w:end w:w="0" w:type="dxa"/>
        </w:tblCellMar>
      </w:tblPr>
      <w:tblGrid>
        <w:gridCol w:w="1920"/>
        <w:gridCol w:w="1502"/>
        <w:gridCol w:w="1436"/>
        <w:gridCol w:w="1202"/>
        <w:gridCol w:w="1980"/>
        <w:gridCol w:w="1350"/>
      </w:tblGrid>
      <w:tr>
        <w:trPr/>
        <w:tc>
          <w:tcPr>
            <w:tcW w:w="6060" w:type="dxa"/>
            <w:gridSpan w:val="4"/>
            <w:tcBorders/>
          </w:tcPr>
          <w:p>
            <w:pPr>
              <w:pStyle w:val="TableHeading"/>
              <w:rPr/>
            </w:pPr>
            <w:r>
              <w:rPr/>
            </w:r>
          </w:p>
        </w:tc>
        <w:tc>
          <w:tcPr>
            <w:tcW w:w="333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5"/>
              <w:ind w:hanging="0" w:start="0"/>
              <w:rPr/>
            </w:pPr>
            <w:r>
              <w:rPr/>
              <w:t>Top 7 Schools:  1991 – 1999</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Texas</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72</w:t>
            </w:r>
          </w:p>
        </w:tc>
      </w:tr>
      <w:tr>
        <w:trPr>
          <w:trHeight w:val="332" w:hRule="atLeast"/>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Wharton</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53</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Chicago</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45</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Harvard</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35</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Thunderbird</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29</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Rice</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33</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Kellogg</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20</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rPr>
            </w:pPr>
            <w:r>
              <w:rPr>
                <w:b/>
              </w:rPr>
              <w:t>Total</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rPr>
            </w:pPr>
            <w:r>
              <w:rPr>
                <w:b/>
              </w:rPr>
              <w:t>287</w:t>
            </w:r>
          </w:p>
        </w:tc>
      </w:tr>
      <w:tr>
        <w:trPr>
          <w:trHeight w:val="247" w:hRule="atLeast"/>
        </w:trPr>
        <w:tc>
          <w:tcPr>
            <w:tcW w:w="4858" w:type="dxa"/>
            <w:gridSpan w:val="3"/>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Enron Employee Facts - A contrast of 10 years</w:t>
            </w:r>
          </w:p>
        </w:tc>
        <w:tc>
          <w:tcPr>
            <w:tcW w:w="4532" w:type="dxa"/>
            <w:gridSpan w:val="3"/>
            <w:tcBorders/>
          </w:tcPr>
          <w:p>
            <w:pPr>
              <w:pStyle w:val="Normal"/>
              <w:snapToGrid w:val="false"/>
              <w:rPr>
                <w:rFonts w:ascii="Arial" w:hAnsi="Arial" w:cs="Arial"/>
                <w:b/>
                <w:color w:val="000000"/>
              </w:rPr>
            </w:pPr>
            <w:r>
              <w:rPr>
                <w:rFonts w:cs="Arial" w:ascii="Arial" w:hAnsi="Arial"/>
                <w:b/>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snapToGrid w:val="false"/>
              <w:jc w:val="center"/>
              <w:rPr>
                <w:rFonts w:ascii="Arial" w:hAnsi="Arial" w:cs="Arial"/>
                <w:b/>
                <w:color w:val="000000"/>
              </w:rPr>
            </w:pPr>
            <w:r>
              <w:rPr>
                <w:rFonts w:cs="Arial" w:ascii="Arial" w:hAnsi="Arial"/>
                <w:b/>
                <w:color w:val="000000"/>
              </w:rPr>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Jan-00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Jan-90</w:t>
            </w:r>
          </w:p>
        </w:tc>
        <w:tc>
          <w:tcPr>
            <w:tcW w:w="4532" w:type="dxa"/>
            <w:gridSpan w:val="3"/>
            <w:tcBorders/>
          </w:tcPr>
          <w:p>
            <w:pPr>
              <w:pStyle w:val="Normal"/>
              <w:snapToGrid w:val="false"/>
              <w:rPr>
                <w:rFonts w:ascii="Arial" w:hAnsi="Arial" w:cs="Arial"/>
                <w:b/>
                <w:color w:val="000000"/>
              </w:rPr>
            </w:pPr>
            <w:r>
              <w:rPr>
                <w:rFonts w:cs="Arial" w:ascii="Arial" w:hAnsi="Arial"/>
                <w:b/>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Employee Count</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17,900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6,962</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Advance Degrees</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3560 (20%)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278 (4%)</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Tenure</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 xml:space="preserve">  </w:t>
            </w:r>
            <w:r>
              <w:rPr>
                <w:color w:val="000000"/>
              </w:rPr>
              <w:t>8 years</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8 years</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Languages Spoken</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50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29</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Job Growth</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7%</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 xml:space="preserve"> </w:t>
            </w:r>
            <w:r>
              <w:rPr>
                <w:color w:val="000000"/>
              </w:rPr>
              <w:t>n/a</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Avg. Age</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33</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49</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bl>
    <w:p>
      <w:pPr>
        <w:pStyle w:val="BodyText3"/>
        <w:tabs>
          <w:tab w:val="clear" w:pos="720"/>
          <w:tab w:val="left" w:pos="450" w:leader="none"/>
          <w:tab w:val="left" w:pos="810" w:leader="none"/>
          <w:tab w:val="left" w:pos="1260" w:leader="none"/>
        </w:tabs>
        <w:ind w:start="720" w:end="0"/>
        <w:rPr>
          <w:sz w:val="24"/>
        </w:rPr>
      </w:pPr>
      <w:r>
        <w:rPr>
          <w:sz w:val="24"/>
        </w:rPr>
      </w:r>
      <w:r>
        <w:br w:type="page"/>
      </w:r>
    </w:p>
    <w:p>
      <w:pPr>
        <w:pStyle w:val="BodyText3"/>
        <w:tabs>
          <w:tab w:val="clear" w:pos="720"/>
          <w:tab w:val="left" w:pos="450" w:leader="none"/>
          <w:tab w:val="left" w:pos="810" w:leader="none"/>
          <w:tab w:val="left" w:pos="1260" w:leader="none"/>
        </w:tabs>
        <w:ind w:start="720" w:end="0"/>
        <w:jc w:val="center"/>
        <w:rPr>
          <w:b/>
          <w:sz w:val="32"/>
        </w:rPr>
      </w:pPr>
      <w:r>
        <w:rPr>
          <w:b/>
          <w:sz w:val="32"/>
        </w:rPr>
        <w:t>Management Strategy: Tight and Loose</w:t>
      </w:r>
    </w:p>
    <w:p>
      <w:pPr>
        <w:pStyle w:val="BodyText3"/>
        <w:tabs>
          <w:tab w:val="clear" w:pos="720"/>
          <w:tab w:val="left" w:pos="630" w:leader="none"/>
          <w:tab w:val="left" w:pos="1080" w:leader="none"/>
          <w:tab w:val="left" w:pos="4050" w:leader="none"/>
          <w:tab w:val="left" w:pos="4680" w:leader="none"/>
          <w:tab w:val="left" w:pos="5220" w:leader="none"/>
        </w:tabs>
        <w:ind w:end="540"/>
        <w:rPr>
          <w:b/>
          <w:sz w:val="32"/>
        </w:rPr>
      </w:pPr>
      <w:r>
        <w:rPr>
          <w:b/>
          <w:sz w:val="32"/>
        </w:rPr>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numPr>
          <w:ilvl w:val="0"/>
          <w:numId w:val="77"/>
        </w:numPr>
        <w:tabs>
          <w:tab w:val="clear" w:pos="720"/>
          <w:tab w:val="left" w:pos="630" w:leader="none"/>
          <w:tab w:val="left" w:pos="1080" w:leader="none"/>
          <w:tab w:val="left" w:pos="4050" w:leader="none"/>
          <w:tab w:val="left" w:pos="4680" w:leader="none"/>
          <w:tab w:val="left" w:pos="5220" w:leader="none"/>
        </w:tabs>
        <w:ind w:hanging="432" w:start="432" w:end="540"/>
        <w:rPr/>
      </w:pPr>
      <w:r>
        <w:rPr/>
        <w:t>Enron's management strategy is a combination of "tight" and "loose."  [work from slide]</w:t>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numPr>
          <w:ilvl w:val="0"/>
          <w:numId w:val="41"/>
        </w:numPr>
        <w:tabs>
          <w:tab w:val="clear" w:pos="720"/>
          <w:tab w:val="left" w:pos="630" w:leader="none"/>
          <w:tab w:val="left" w:pos="1080" w:leader="none"/>
          <w:tab w:val="left" w:pos="4050" w:leader="none"/>
          <w:tab w:val="left" w:pos="4680" w:leader="none"/>
          <w:tab w:val="left" w:pos="5220" w:leader="none"/>
        </w:tabs>
        <w:ind w:hanging="432" w:start="432" w:end="90"/>
        <w:rPr/>
      </w:pPr>
      <w:r>
        <w:rPr/>
        <w:t xml:space="preserve">Tight controls needed to ensure that we have the </w:t>
      </w:r>
      <w:r>
        <w:rPr>
          <w:u w:val="single"/>
        </w:rPr>
        <w:t>best information</w:t>
      </w:r>
      <w:r>
        <w:rPr/>
        <w:t xml:space="preserve"> and the </w:t>
      </w:r>
      <w:r>
        <w:rPr>
          <w:u w:val="single"/>
        </w:rPr>
        <w:t>right information</w:t>
      </w:r>
      <w:r>
        <w:rPr/>
        <w:t xml:space="preserve"> to develop and execute our financial strategy</w:t>
      </w:r>
    </w:p>
    <w:p>
      <w:pPr>
        <w:pStyle w:val="BodyText3"/>
        <w:tabs>
          <w:tab w:val="clear" w:pos="720"/>
          <w:tab w:val="left" w:pos="630" w:leader="none"/>
          <w:tab w:val="left" w:pos="1080" w:leader="none"/>
          <w:tab w:val="left" w:pos="4050" w:leader="none"/>
          <w:tab w:val="left" w:pos="4680" w:leader="none"/>
          <w:tab w:val="left" w:pos="5220" w:leader="none"/>
        </w:tabs>
        <w:ind w:end="90"/>
        <w:rPr/>
      </w:pPr>
      <w:r>
        <w:rPr/>
      </w:r>
    </w:p>
    <w:p>
      <w:pPr>
        <w:pStyle w:val="BodyText3"/>
        <w:numPr>
          <w:ilvl w:val="0"/>
          <w:numId w:val="25"/>
        </w:numPr>
        <w:tabs>
          <w:tab w:val="clear" w:pos="720"/>
          <w:tab w:val="left" w:pos="630" w:leader="none"/>
          <w:tab w:val="left" w:pos="1080" w:leader="none"/>
          <w:tab w:val="left" w:pos="4050" w:leader="none"/>
          <w:tab w:val="left" w:pos="4680" w:leader="none"/>
          <w:tab w:val="left" w:pos="5220" w:leader="none"/>
        </w:tabs>
        <w:ind w:hanging="432" w:start="432" w:end="90"/>
        <w:rPr/>
      </w:pPr>
      <w:r>
        <w:rPr/>
        <w:t>The concept of loose controls in the work environment is really a requirement in today's economy where organizations must be flatter and autonomy is expected by top employees [work from slide].  Loosening of the proper constraints has evoked some very entrepreneurial activity within Enron in recent years that has been reported in the national media:</w:t>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 xml:space="preserve">- </w:t>
        <w:tab/>
        <w:t>a trader in the London office organized a group of 350 employees and developed EnronOnline</w:t>
      </w:r>
    </w:p>
    <w:p>
      <w:pPr>
        <w:pStyle w:val="BodyText3"/>
        <w:tabs>
          <w:tab w:val="clear" w:pos="720"/>
          <w:tab w:val="left" w:pos="630" w:leader="none"/>
          <w:tab w:val="left" w:pos="162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start="720" w:end="-540"/>
        <w:rPr/>
      </w:pPr>
      <w:r>
        <w:rPr/>
        <w:t xml:space="preserve">     </w:t>
      </w:r>
      <w:r>
        <w:rPr/>
        <w:t xml:space="preserve">- </w:t>
        <w:tab/>
        <w:t xml:space="preserve">a liberal arts major, two years out of college, started our weather derivatives business where companies </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ab/>
        <w:t>can hedge against weather extremes ($1 billion business in the last 2 years)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w:t>
        <w:tab/>
        <w:t>an Enron graphics employee started the pulp and paper business ($4 billion business last year)</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r>
    </w:p>
    <w:p>
      <w:pPr>
        <w:pStyle w:val="BodyText3"/>
        <w:numPr>
          <w:ilvl w:val="0"/>
          <w:numId w:val="56"/>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540"/>
        <w:rPr/>
      </w:pPr>
      <w:r>
        <w:rPr/>
        <w:t>We have some high-profile failures as well, but in any “revolutionary” company aggressively seeking first mover advantage, we expect some ventures to fail</w:t>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sz w:val="32"/>
        </w:rPr>
      </w:pPr>
      <w:r>
        <w:rPr>
          <w:b/>
          <w:sz w:val="32"/>
        </w:rPr>
        <w:t>MG Acquisition</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numPr>
          <w:ilvl w:val="0"/>
          <w:numId w:val="37"/>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pPr>
      <w:r>
        <w:rPr/>
        <w:t>Announced in May, 2000 and will close in the next 60 to 90 days</w:t>
      </w:r>
    </w:p>
    <w:p>
      <w:pPr>
        <w:pStyle w:val="Normal"/>
        <w:rPr>
          <w:sz w:val="28"/>
        </w:rPr>
      </w:pPr>
      <w:r>
        <w:rPr>
          <w:sz w:val="28"/>
        </w:rPr>
      </w:r>
    </w:p>
    <w:p>
      <w:pPr>
        <w:pStyle w:val="Normal"/>
        <w:ind w:firstLine="360" w:end="0"/>
        <w:rPr>
          <w:sz w:val="28"/>
        </w:rPr>
      </w:pPr>
      <w:r>
        <w:rPr>
          <w:sz w:val="28"/>
        </w:rPr>
        <w:t>[Work from slide]</w:t>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p>
    <w:p>
      <w:pPr>
        <w:pStyle w:val="BodyText3"/>
        <w:tabs>
          <w:tab w:val="clear" w:pos="720"/>
          <w:tab w:val="left" w:pos="630" w:leader="none"/>
          <w:tab w:val="left" w:pos="1080" w:leader="none"/>
          <w:tab w:val="left" w:pos="4050" w:leader="none"/>
          <w:tab w:val="left" w:pos="4680" w:leader="none"/>
          <w:tab w:val="left" w:pos="5220" w:leader="none"/>
        </w:tabs>
        <w:ind w:end="-540"/>
        <w:rPr>
          <w:sz w:val="24"/>
        </w:rPr>
      </w:pPr>
      <w:r>
        <w:rPr>
          <w:sz w:val="24"/>
        </w:rPr>
      </w:r>
      <w:r>
        <w:br w:type="page"/>
      </w:r>
    </w:p>
    <w:p>
      <w:pPr>
        <w:pStyle w:val="Normal"/>
        <w:jc w:val="center"/>
        <w:rPr>
          <w:b/>
          <w:sz w:val="32"/>
        </w:rPr>
      </w:pPr>
      <w:r>
        <w:rPr>
          <w:b/>
          <w:sz w:val="32"/>
        </w:rPr>
        <w:t>New Power Company</w:t>
      </w:r>
      <w:r>
        <w:rPr>
          <w:rFonts w:eastAsia="Symbol" w:cs="Symbol" w:ascii="Symbol" w:hAnsi="Symbol"/>
          <w:b/>
          <w:sz w:val="32"/>
        </w:rPr>
        <w:sym w:font="Symbol" w:char="f0e4"/>
      </w:r>
    </w:p>
    <w:p>
      <w:pPr>
        <w:pStyle w:val="Normal"/>
        <w:jc w:val="center"/>
        <w:rPr>
          <w:b/>
          <w:sz w:val="28"/>
        </w:rPr>
      </w:pPr>
      <w:r>
        <w:rPr>
          <w:b/>
          <w:sz w:val="28"/>
        </w:rPr>
      </w:r>
    </w:p>
    <w:p>
      <w:pPr>
        <w:pStyle w:val="Normal"/>
        <w:jc w:val="center"/>
        <w:rPr>
          <w:b/>
          <w:sz w:val="28"/>
        </w:rPr>
      </w:pPr>
      <w:r>
        <w:rPr>
          <w:b/>
          <w:sz w:val="28"/>
        </w:rPr>
      </w:r>
    </w:p>
    <w:p>
      <w:pPr>
        <w:pStyle w:val="Normal"/>
        <w:numPr>
          <w:ilvl w:val="0"/>
          <w:numId w:val="5"/>
        </w:numPr>
        <w:rPr>
          <w:sz w:val="28"/>
        </w:rPr>
      </w:pPr>
      <w:r>
        <w:rPr>
          <w:sz w:val="28"/>
        </w:rPr>
        <w:t xml:space="preserve">Also announced in May, 2000  </w:t>
      </w:r>
    </w:p>
    <w:p>
      <w:pPr>
        <w:pStyle w:val="Normal"/>
        <w:rPr>
          <w:sz w:val="28"/>
        </w:rPr>
      </w:pPr>
      <w:r>
        <w:rPr>
          <w:sz w:val="28"/>
        </w:rPr>
      </w:r>
    </w:p>
    <w:p>
      <w:pPr>
        <w:pStyle w:val="Normal"/>
        <w:ind w:firstLine="432" w:end="0"/>
        <w:rPr>
          <w:sz w:val="28"/>
        </w:rPr>
      </w:pPr>
      <w:r>
        <w:rPr>
          <w:sz w:val="28"/>
        </w:rPr>
        <w:t>[work from slide]</w:t>
        <w:br/>
      </w:r>
    </w:p>
    <w:p>
      <w:pPr>
        <w:pStyle w:val="Normal"/>
        <w:rPr>
          <w:sz w:val="28"/>
        </w:rPr>
      </w:pPr>
      <w:r>
        <w:rPr>
          <w:sz w:val="28"/>
        </w:rPr>
      </w:r>
    </w:p>
    <w:p>
      <w:pPr>
        <w:pStyle w:val="Normal"/>
        <w:numPr>
          <w:ilvl w:val="0"/>
          <w:numId w:val="2"/>
        </w:numPr>
        <w:rPr>
          <w:sz w:val="28"/>
        </w:rPr>
      </w:pPr>
      <w:r>
        <w:rPr>
          <w:sz w:val="28"/>
        </w:rPr>
        <w:t>Partnership of Enron with industry leaders:  GE Capital, California Public Employees Retirement System, IBM, Ontario Teachers Group and Donaldson, Lufkin and Jennrette</w:t>
      </w:r>
    </w:p>
    <w:p>
      <w:pPr>
        <w:pStyle w:val="Normal"/>
        <w:rPr>
          <w:sz w:val="28"/>
        </w:rPr>
      </w:pPr>
      <w:r>
        <w:rPr>
          <w:sz w:val="28"/>
        </w:rPr>
      </w:r>
    </w:p>
    <w:p>
      <w:pPr>
        <w:pStyle w:val="Normal"/>
        <w:rPr>
          <w:sz w:val="28"/>
        </w:rPr>
      </w:pPr>
      <w:r>
        <w:rPr>
          <w:sz w:val="28"/>
        </w:rPr>
      </w:r>
    </w:p>
    <w:p>
      <w:pPr>
        <w:pStyle w:val="Normal"/>
        <w:numPr>
          <w:ilvl w:val="0"/>
          <w:numId w:val="46"/>
        </w:numPr>
        <w:rPr>
          <w:sz w:val="28"/>
        </w:rPr>
      </w:pPr>
      <w:r>
        <w:rPr>
          <w:sz w:val="28"/>
        </w:rPr>
        <w:t>Economics tied to Internet sign-up and billing (substantial improvement over Enron's earlier retailing effort in California and elsewhere that was eventually discontinued).</w:t>
      </w:r>
    </w:p>
    <w:p>
      <w:pPr>
        <w:pStyle w:val="Normal"/>
        <w:rPr>
          <w:sz w:val="28"/>
        </w:rPr>
      </w:pPr>
      <w:r>
        <w:rPr>
          <w:sz w:val="28"/>
        </w:rPr>
      </w:r>
    </w:p>
    <w:p>
      <w:pPr>
        <w:pStyle w:val="Normal"/>
        <w:rPr>
          <w:sz w:val="28"/>
        </w:rPr>
      </w:pPr>
      <w:r>
        <w:rPr>
          <w:sz w:val="28"/>
        </w:rPr>
      </w:r>
    </w:p>
    <w:p>
      <w:pPr>
        <w:pStyle w:val="Normal"/>
        <w:numPr>
          <w:ilvl w:val="0"/>
          <w:numId w:val="45"/>
        </w:numPr>
        <w:rPr>
          <w:sz w:val="28"/>
        </w:rPr>
      </w:pPr>
      <w:r>
        <w:rPr>
          <w:sz w:val="28"/>
        </w:rPr>
        <w:t xml:space="preserve">Tie-in products to natural gas and electricity could be any </w:t>
      </w:r>
      <w:r>
        <w:rPr>
          <w:sz w:val="28"/>
          <w:u w:val="single"/>
        </w:rPr>
        <w:t>appliances</w:t>
      </w:r>
      <w:r>
        <w:rPr>
          <w:sz w:val="28"/>
        </w:rPr>
        <w:t xml:space="preserve"> using the same natural gas or electricity or </w:t>
      </w:r>
      <w:r>
        <w:rPr>
          <w:sz w:val="28"/>
          <w:u w:val="single"/>
        </w:rPr>
        <w:t>cable</w:t>
      </w:r>
      <w:r>
        <w:rPr>
          <w:sz w:val="28"/>
        </w:rPr>
        <w:t xml:space="preserve"> or </w:t>
      </w:r>
      <w:r>
        <w:rPr>
          <w:sz w:val="28"/>
          <w:u w:val="single"/>
        </w:rPr>
        <w:t>telecommunications</w:t>
      </w:r>
    </w:p>
    <w:p>
      <w:pPr>
        <w:pStyle w:val="Normal"/>
        <w:rPr>
          <w:sz w:val="28"/>
        </w:rPr>
      </w:pPr>
      <w:r>
        <w:rPr>
          <w:sz w:val="28"/>
        </w:rPr>
      </w:r>
    </w:p>
    <w:p>
      <w:pPr>
        <w:pStyle w:val="Normal"/>
        <w:numPr>
          <w:ilvl w:val="0"/>
          <w:numId w:val="51"/>
        </w:numPr>
        <w:rPr>
          <w:sz w:val="28"/>
        </w:rPr>
      </w:pPr>
      <w:r>
        <w:rPr>
          <w:sz w:val="28"/>
        </w:rPr>
        <w:t>We believe that the New Power Company is the first viable business model to compete with gas and electric utilities across the U.S.</w:t>
      </w:r>
    </w:p>
    <w:p>
      <w:pPr>
        <w:pStyle w:val="BodyText3"/>
        <w:tabs>
          <w:tab w:val="clear" w:pos="720"/>
          <w:tab w:val="left" w:pos="810" w:leader="none"/>
          <w:tab w:val="left" w:pos="1260" w:leader="none"/>
        </w:tabs>
        <w:rPr>
          <w:sz w:val="28"/>
        </w:rPr>
      </w:pPr>
      <w:r>
        <w:rPr>
          <w:sz w:val="28"/>
        </w:rPr>
      </w:r>
    </w:p>
    <w:p>
      <w:pPr>
        <w:pStyle w:val="BodyText3"/>
        <w:tabs>
          <w:tab w:val="clear" w:pos="720"/>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2"/>
        </w:rPr>
      </w:pPr>
      <w:r>
        <w:rPr>
          <w:b/>
          <w:sz w:val="32"/>
        </w:rPr>
        <w:t>Azurix</w:t>
      </w:r>
    </w:p>
    <w:p>
      <w:pPr>
        <w:pStyle w:val="BodyText3"/>
        <w:tabs>
          <w:tab w:val="clear" w:pos="720"/>
          <w:tab w:val="left" w:pos="450" w:leader="none"/>
          <w:tab w:val="left" w:pos="810" w:leader="none"/>
          <w:tab w:val="left" w:pos="1260" w:leader="none"/>
        </w:tabs>
        <w:jc w:val="center"/>
        <w:rPr>
          <w:b/>
          <w:sz w:val="26"/>
        </w:rPr>
      </w:pPr>
      <w:r>
        <w:rPr>
          <w:b/>
          <w:sz w:val="26"/>
        </w:rPr>
      </w:r>
    </w:p>
    <w:p>
      <w:pPr>
        <w:pStyle w:val="BodyText3"/>
        <w:tabs>
          <w:tab w:val="clear" w:pos="720"/>
          <w:tab w:val="left" w:pos="450" w:leader="none"/>
          <w:tab w:val="left" w:pos="810" w:leader="none"/>
          <w:tab w:val="left" w:pos="1260" w:leader="none"/>
        </w:tabs>
        <w:rPr>
          <w:b/>
          <w:sz w:val="26"/>
        </w:rPr>
      </w:pPr>
      <w:r>
        <w:rPr>
          <w:b/>
          <w:sz w:val="26"/>
        </w:rPr>
      </w:r>
    </w:p>
    <w:p>
      <w:pPr>
        <w:pStyle w:val="BodyText3"/>
        <w:tabs>
          <w:tab w:val="clear" w:pos="720"/>
          <w:tab w:val="left" w:pos="450" w:leader="none"/>
          <w:tab w:val="left" w:pos="810" w:leader="none"/>
          <w:tab w:val="left" w:pos="1260" w:leader="none"/>
        </w:tabs>
        <w:rPr>
          <w:sz w:val="26"/>
        </w:rPr>
      </w:pPr>
      <w:r>
        <w:rPr>
          <w:sz w:val="26"/>
        </w:rPr>
      </w:r>
    </w:p>
    <w:p>
      <w:pPr>
        <w:pStyle w:val="BodyText3"/>
        <w:numPr>
          <w:ilvl w:val="0"/>
          <w:numId w:val="62"/>
        </w:numPr>
        <w:tabs>
          <w:tab w:val="clear" w:pos="720"/>
          <w:tab w:val="left" w:pos="450" w:leader="none"/>
          <w:tab w:val="left" w:pos="810" w:leader="none"/>
          <w:tab w:val="left" w:pos="1260" w:leader="none"/>
        </w:tabs>
        <w:rPr/>
      </w:pPr>
      <w:r>
        <w:rPr/>
        <w:t>Azurix had a partial initial public offering in July of 1999.</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It quickly rose in price to $23.75 per share, but has since declined substantially</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Part of the reason for the decline is based on the fact that the business is asset-intensive (which goes against Enron’s basic business model).  Many of the deals that seemed to be close to closing were delayed, further stretching the asset investments.</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On August 25</w:t>
      </w:r>
      <w:r>
        <w:rPr>
          <w:vertAlign w:val="superscript"/>
        </w:rPr>
        <w:t>th</w:t>
      </w:r>
      <w:r>
        <w:rPr/>
        <w:t>, 2000 Rebecca Mark stepped down as Chairman and CEO of Azurix and John Garrison replaced her.</w:t>
      </w:r>
    </w:p>
    <w:sectPr>
      <w:footerReference w:type="default" r:id="rId2"/>
      <w:type w:val="nextPage"/>
      <w:pgSz w:orient="landscape" w:w="15840" w:h="12240"/>
      <w:pgMar w:left="1440" w:right="144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Enron Overview</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abstractNum w:abstractNumId="10">
    <w:lvl w:ilvl="0">
      <w:start w:val="1"/>
      <w:numFmt w:val="bullet"/>
      <w:lvlText w:val=""/>
      <w:lvlJc w:val="start"/>
      <w:pPr>
        <w:tabs>
          <w:tab w:val="num" w:pos="432"/>
        </w:tabs>
        <w:ind w:start="432" w:hanging="432"/>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432"/>
        </w:tabs>
        <w:ind w:start="432" w:hanging="432"/>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432"/>
        </w:tabs>
        <w:ind w:start="432" w:hanging="432"/>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432"/>
        </w:tabs>
        <w:ind w:start="432" w:hanging="432"/>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432"/>
        </w:tabs>
        <w:ind w:start="432" w:hanging="432"/>
      </w:pPr>
      <w:rPr>
        <w:rFonts w:ascii="Symbol" w:hAnsi="Symbol" w:cs="Symbol" w:hint="default"/>
      </w:rPr>
    </w:lvl>
  </w:abstractNum>
  <w:abstractNum w:abstractNumId="23">
    <w:lvl w:ilvl="0">
      <w:start w:val="1"/>
      <w:numFmt w:val="bullet"/>
      <w:lvlText w:val=""/>
      <w:lvlJc w:val="start"/>
      <w:pPr>
        <w:tabs>
          <w:tab w:val="num" w:pos="432"/>
        </w:tabs>
        <w:ind w:start="432" w:hanging="432"/>
      </w:pPr>
      <w:rPr>
        <w:rFonts w:ascii="Symbol" w:hAnsi="Symbol" w:cs="Symbol" w:hint="default"/>
      </w:rPr>
    </w:lvl>
  </w:abstractNum>
  <w:abstractNum w:abstractNumId="24">
    <w:lvl w:ilvl="0">
      <w:start w:val="1"/>
      <w:numFmt w:val="bullet"/>
      <w:lvlText w:val="-"/>
      <w:lvlJc w:val="start"/>
      <w:pPr>
        <w:tabs>
          <w:tab w:val="num" w:pos="1440"/>
        </w:tabs>
        <w:ind w:start="1440" w:hanging="360"/>
      </w:pPr>
      <w:rPr>
        <w:rFonts w:ascii="Liberation Serif" w:hAnsi="Liberation Serif" w:cs="Liberation Serif" w:hint="default"/>
      </w:rPr>
    </w:lvl>
  </w:abstractNum>
  <w:abstractNum w:abstractNumId="25">
    <w:lvl w:ilvl="0">
      <w:start w:val="1"/>
      <w:numFmt w:val="bullet"/>
      <w:lvlText w:val=""/>
      <w:lvlJc w:val="start"/>
      <w:pPr>
        <w:tabs>
          <w:tab w:val="num" w:pos="432"/>
        </w:tabs>
        <w:ind w:start="432" w:hanging="432"/>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7">
    <w:lvl w:ilvl="0">
      <w:start w:val="1"/>
      <w:numFmt w:val="bullet"/>
      <w:lvlText w:val=""/>
      <w:lvlJc w:val="start"/>
      <w:pPr>
        <w:tabs>
          <w:tab w:val="num" w:pos="432"/>
        </w:tabs>
        <w:ind w:start="432" w:hanging="432"/>
      </w:pPr>
      <w:rPr>
        <w:rFonts w:ascii="Symbol" w:hAnsi="Symbol" w:cs="Symbol" w:hint="default"/>
      </w:rPr>
    </w:lvl>
  </w:abstractNum>
  <w:abstractNum w:abstractNumId="28">
    <w:lvl w:ilvl="0">
      <w:start w:val="1"/>
      <w:numFmt w:val="bullet"/>
      <w:lvlText w:val=""/>
      <w:lvlJc w:val="start"/>
      <w:pPr>
        <w:tabs>
          <w:tab w:val="num" w:pos="432"/>
        </w:tabs>
        <w:ind w:start="432" w:hanging="432"/>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432"/>
        </w:tabs>
        <w:ind w:start="432" w:hanging="432"/>
      </w:pPr>
      <w:rPr>
        <w:rFonts w:ascii="Symbol" w:hAnsi="Symbol" w:cs="Symbol" w:hint="default"/>
      </w:rPr>
    </w:lvl>
  </w:abstractNum>
  <w:abstractNum w:abstractNumId="31">
    <w:lvl w:ilvl="0">
      <w:start w:val="2"/>
      <w:numFmt w:val="bullet"/>
      <w:lvlText w:val="-"/>
      <w:lvlJc w:val="start"/>
      <w:pPr>
        <w:tabs>
          <w:tab w:val="num" w:pos="720"/>
        </w:tabs>
        <w:ind w:start="720" w:hanging="360"/>
      </w:pPr>
      <w:rPr>
        <w:rFonts w:ascii="Liberation Serif" w:hAnsi="Liberation Serif" w:cs="Liberation Serif"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432"/>
        </w:tabs>
        <w:ind w:start="432" w:hanging="432"/>
      </w:pPr>
      <w:rPr>
        <w:rFonts w:ascii="Symbol" w:hAnsi="Symbol" w:cs="Symbol" w:hint="default"/>
      </w:rPr>
    </w:lvl>
  </w:abstractNum>
  <w:abstractNum w:abstractNumId="34">
    <w:lvl w:ilvl="0">
      <w:start w:val="1"/>
      <w:numFmt w:val="bullet"/>
      <w:lvlText w:val=""/>
      <w:lvlJc w:val="start"/>
      <w:pPr>
        <w:tabs>
          <w:tab w:val="num" w:pos="432"/>
        </w:tabs>
        <w:ind w:start="432" w:hanging="432"/>
      </w:pPr>
      <w:rPr>
        <w:rFonts w:ascii="Symbol" w:hAnsi="Symbol" w:cs="Symbol" w:hint="default"/>
      </w:rPr>
    </w:lvl>
  </w:abstractNum>
  <w:abstractNum w:abstractNumId="35">
    <w:lvl w:ilvl="0">
      <w:start w:val="1"/>
      <w:numFmt w:val="bullet"/>
      <w:lvlText w:val=""/>
      <w:lvlJc w:val="start"/>
      <w:pPr>
        <w:tabs>
          <w:tab w:val="num" w:pos="432"/>
        </w:tabs>
        <w:ind w:start="432" w:hanging="432"/>
      </w:pPr>
      <w:rPr>
        <w:rFonts w:ascii="Symbol" w:hAnsi="Symbol" w:cs="Symbol" w:hint="default"/>
      </w:rPr>
    </w:lvl>
  </w:abstractNum>
  <w:abstractNum w:abstractNumId="36">
    <w:lvl w:ilvl="0">
      <w:start w:val="1"/>
      <w:numFmt w:val="bullet"/>
      <w:lvlText w:val=""/>
      <w:lvlJc w:val="start"/>
      <w:pPr>
        <w:tabs>
          <w:tab w:val="num" w:pos="432"/>
        </w:tabs>
        <w:ind w:start="432" w:hanging="432"/>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432"/>
        </w:tabs>
        <w:ind w:start="432" w:hanging="432"/>
      </w:pPr>
      <w:rPr>
        <w:rFonts w:ascii="Symbol" w:hAnsi="Symbol" w:cs="Symbol" w:hint="default"/>
      </w:rPr>
    </w:lvl>
  </w:abstractNum>
  <w:abstractNum w:abstractNumId="41">
    <w:lvl w:ilvl="0">
      <w:start w:val="1"/>
      <w:numFmt w:val="bullet"/>
      <w:lvlText w:val=""/>
      <w:lvlJc w:val="start"/>
      <w:pPr>
        <w:tabs>
          <w:tab w:val="num" w:pos="432"/>
        </w:tabs>
        <w:ind w:start="432" w:hanging="432"/>
      </w:pPr>
      <w:rPr>
        <w:rFonts w:ascii="Symbol" w:hAnsi="Symbol" w:cs="Symbol" w:hint="default"/>
      </w:rPr>
    </w:lvl>
  </w:abstractNum>
  <w:abstractNum w:abstractNumId="42">
    <w:lvl w:ilvl="0">
      <w:start w:val="1"/>
      <w:numFmt w:val="bullet"/>
      <w:lvlText w:val=""/>
      <w:lvlJc w:val="start"/>
      <w:pPr>
        <w:tabs>
          <w:tab w:val="num" w:pos="432"/>
        </w:tabs>
        <w:ind w:start="432" w:hanging="432"/>
      </w:pPr>
      <w:rPr>
        <w:rFonts w:ascii="Symbol" w:hAnsi="Symbol" w:cs="Symbol" w:hint="default"/>
      </w:rPr>
    </w:lvl>
  </w:abstractNum>
  <w:abstractNum w:abstractNumId="43">
    <w:lvl w:ilvl="0">
      <w:start w:val="1"/>
      <w:numFmt w:val="bullet"/>
      <w:lvlText w:val=""/>
      <w:lvlJc w:val="start"/>
      <w:pPr>
        <w:tabs>
          <w:tab w:val="num" w:pos="432"/>
        </w:tabs>
        <w:ind w:start="432" w:hanging="432"/>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432"/>
        </w:tabs>
        <w:ind w:start="432" w:hanging="432"/>
      </w:pPr>
      <w:rPr>
        <w:rFonts w:ascii="Symbol" w:hAnsi="Symbol" w:cs="Symbol" w:hint="default"/>
      </w:rPr>
    </w:lvl>
  </w:abstractNum>
  <w:abstractNum w:abstractNumId="46">
    <w:lvl w:ilvl="0">
      <w:start w:val="1"/>
      <w:numFmt w:val="bullet"/>
      <w:lvlText w:val=""/>
      <w:lvlJc w:val="start"/>
      <w:pPr>
        <w:tabs>
          <w:tab w:val="num" w:pos="432"/>
        </w:tabs>
        <w:ind w:start="432" w:hanging="432"/>
      </w:pPr>
      <w:rPr>
        <w:rFonts w:ascii="Symbol" w:hAnsi="Symbol" w:cs="Symbol" w:hint="default"/>
      </w:rPr>
    </w:lvl>
  </w:abstractNum>
  <w:abstractNum w:abstractNumId="47">
    <w:lvl w:ilvl="0">
      <w:start w:val="1"/>
      <w:numFmt w:val="bullet"/>
      <w:lvlText w:val=""/>
      <w:lvlJc w:val="start"/>
      <w:pPr>
        <w:tabs>
          <w:tab w:val="num" w:pos="432"/>
        </w:tabs>
        <w:ind w:start="432" w:hanging="432"/>
      </w:pPr>
      <w:rPr>
        <w:rFonts w:ascii="Symbol" w:hAnsi="Symbol" w:cs="Symbol" w:hint="default"/>
      </w:rPr>
    </w:lvl>
  </w:abstractNum>
  <w:abstractNum w:abstractNumId="48">
    <w:lvl w:ilvl="0">
      <w:start w:val="1"/>
      <w:numFmt w:val="bullet"/>
      <w:lvlText w:val=""/>
      <w:lvlJc w:val="start"/>
      <w:pPr>
        <w:tabs>
          <w:tab w:val="num" w:pos="432"/>
        </w:tabs>
        <w:ind w:start="432" w:hanging="432"/>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1440"/>
        </w:tabs>
        <w:ind w:start="1440" w:hanging="360"/>
      </w:pPr>
      <w:rPr>
        <w:rFonts w:ascii="Symbol" w:hAnsi="Symbol" w:cs="Symbol" w:hint="default"/>
      </w:rPr>
    </w:lvl>
  </w:abstractNum>
  <w:abstractNum w:abstractNumId="53">
    <w:lvl w:ilvl="0">
      <w:start w:val="1"/>
      <w:numFmt w:val="bullet"/>
      <w:lvlText w:val=""/>
      <w:lvlJc w:val="start"/>
      <w:pPr>
        <w:tabs>
          <w:tab w:val="num" w:pos="432"/>
        </w:tabs>
        <w:ind w:start="432" w:hanging="432"/>
      </w:pPr>
      <w:rPr>
        <w:rFonts w:ascii="Symbol" w:hAnsi="Symbol" w:cs="Symbol" w:hint="default"/>
      </w:rPr>
    </w:lvl>
  </w:abstractNum>
  <w:abstractNum w:abstractNumId="54">
    <w:lvl w:ilvl="0">
      <w:start w:val="1"/>
      <w:numFmt w:val="bullet"/>
      <w:lvlText w:val=""/>
      <w:lvlJc w:val="start"/>
      <w:pPr>
        <w:tabs>
          <w:tab w:val="num" w:pos="432"/>
        </w:tabs>
        <w:ind w:start="432" w:hanging="432"/>
      </w:pPr>
      <w:rPr>
        <w:rFonts w:ascii="Symbol" w:hAnsi="Symbol" w:cs="Symbol" w:hint="default"/>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432"/>
        </w:tabs>
        <w:ind w:start="432" w:hanging="432"/>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abstractNum>
  <w:abstractNum w:abstractNumId="59">
    <w:lvl w:ilvl="0">
      <w:start w:val="5"/>
      <w:numFmt w:val="decimal"/>
      <w:lvlText w:val="(%1)"/>
      <w:lvlJc w:val="start"/>
      <w:pPr>
        <w:tabs>
          <w:tab w:val="num" w:pos="1185"/>
        </w:tabs>
        <w:ind w:start="1185" w:hanging="465"/>
      </w:pPr>
      <w:rPr/>
    </w:lvl>
  </w:abstractNum>
  <w:abstractNum w:abstractNumId="60">
    <w:lvl w:ilvl="0">
      <w:start w:val="1"/>
      <w:numFmt w:val="bullet"/>
      <w:lvlText w:val=""/>
      <w:lvlJc w:val="start"/>
      <w:pPr>
        <w:tabs>
          <w:tab w:val="num" w:pos="432"/>
        </w:tabs>
        <w:ind w:start="432" w:hanging="432"/>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720"/>
        </w:tabs>
        <w:ind w:start="72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432"/>
        </w:tabs>
        <w:ind w:start="432" w:hanging="432"/>
      </w:pPr>
      <w:rPr>
        <w:rFonts w:ascii="Symbol" w:hAnsi="Symbol" w:cs="Symbol" w:hint="default"/>
      </w:rPr>
    </w:lvl>
  </w:abstractNum>
  <w:abstractNum w:abstractNumId="65">
    <w:lvl w:ilvl="0">
      <w:start w:val="1"/>
      <w:numFmt w:val="bullet"/>
      <w:lvlText w:val=""/>
      <w:lvlJc w:val="start"/>
      <w:pPr>
        <w:tabs>
          <w:tab w:val="num" w:pos="432"/>
        </w:tabs>
        <w:ind w:start="432" w:hanging="432"/>
      </w:pPr>
      <w:rPr>
        <w:rFonts w:ascii="Symbol" w:hAnsi="Symbol" w:cs="Symbol" w:hint="default"/>
      </w:rPr>
    </w:lvl>
  </w:abstractNum>
  <w:abstractNum w:abstractNumId="66">
    <w:lvl w:ilvl="0">
      <w:start w:val="1"/>
      <w:numFmt w:val="bullet"/>
      <w:lvlText w:val=""/>
      <w:lvlJc w:val="start"/>
      <w:pPr>
        <w:tabs>
          <w:tab w:val="num" w:pos="432"/>
        </w:tabs>
        <w:ind w:start="432" w:hanging="432"/>
      </w:pPr>
      <w:rPr>
        <w:rFonts w:ascii="Symbol" w:hAnsi="Symbol" w:cs="Symbol" w:hint="default"/>
      </w:rPr>
    </w:lvl>
  </w:abstractNum>
  <w:abstractNum w:abstractNumId="67">
    <w:lvl w:ilvl="0">
      <w:start w:val="1"/>
      <w:numFmt w:val="bullet"/>
      <w:lvlText w:val=""/>
      <w:lvlJc w:val="start"/>
      <w:pPr>
        <w:tabs>
          <w:tab w:val="num" w:pos="720"/>
        </w:tabs>
        <w:ind w:start="720" w:hanging="360"/>
      </w:pPr>
      <w:rPr>
        <w:rFonts w:ascii="Symbol" w:hAnsi="Symbol" w:cs="Symbol" w:hint="default"/>
      </w:rPr>
    </w:lvl>
  </w:abstractNum>
  <w:abstractNum w:abstractNumId="68">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69">
    <w:lvl w:ilvl="0">
      <w:start w:val="1"/>
      <w:numFmt w:val="bullet"/>
      <w:lvlText w:val=""/>
      <w:lvlJc w:val="start"/>
      <w:pPr>
        <w:tabs>
          <w:tab w:val="num" w:pos="432"/>
        </w:tabs>
        <w:ind w:start="432" w:hanging="432"/>
      </w:pPr>
      <w:rPr>
        <w:rFonts w:ascii="Symbol" w:hAnsi="Symbol" w:cs="Symbol" w:hint="default"/>
      </w:rPr>
    </w:lvl>
  </w:abstractNum>
  <w:abstractNum w:abstractNumId="70">
    <w:lvl w:ilvl="0">
      <w:start w:val="1"/>
      <w:numFmt w:val="bullet"/>
      <w:lvlText w:val=""/>
      <w:lvlJc w:val="start"/>
      <w:pPr>
        <w:tabs>
          <w:tab w:val="num" w:pos="432"/>
        </w:tabs>
        <w:ind w:start="432" w:hanging="432"/>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432"/>
        </w:tabs>
        <w:ind w:start="432" w:hanging="432"/>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432"/>
        </w:tabs>
        <w:ind w:start="432" w:hanging="432"/>
      </w:pPr>
      <w:rPr>
        <w:rFonts w:ascii="Symbol" w:hAnsi="Symbol" w:cs="Symbol" w:hint="default"/>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432"/>
        </w:tabs>
        <w:ind w:start="432" w:hanging="432"/>
      </w:pPr>
      <w:rPr>
        <w:rFonts w:ascii="Symbol" w:hAnsi="Symbol" w:cs="Symbol" w:hint="default"/>
      </w:rPr>
    </w:lvl>
  </w:abstractNum>
  <w:abstractNum w:abstractNumId="78">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 w:val="decimal" w:pos="7110" w:leader="none"/>
      </w:tabs>
      <w:ind w:hanging="0" w:start="720" w:end="0"/>
      <w:outlineLvl w:val="0"/>
    </w:pPr>
    <w:rPr>
      <w:sz w:val="28"/>
    </w:rPr>
  </w:style>
  <w:style w:type="paragraph" w:styleId="Heading2">
    <w:name w:val="heading 2"/>
    <w:basedOn w:val="Normal"/>
    <w:next w:val="Normal"/>
    <w:qFormat/>
    <w:pPr>
      <w:keepNext w:val="true"/>
      <w:numPr>
        <w:ilvl w:val="1"/>
        <w:numId w:val="1"/>
      </w:numPr>
      <w:tabs>
        <w:tab w:val="clear" w:pos="720"/>
        <w:tab w:val="left" w:pos="900" w:leader="none"/>
        <w:tab w:val="left" w:pos="1440" w:leader="none"/>
      </w:tabs>
      <w:ind w:hanging="288" w:start="720" w:end="0"/>
      <w:outlineLvl w:val="1"/>
    </w:pPr>
    <w:rPr>
      <w:sz w:val="28"/>
    </w:rPr>
  </w:style>
  <w:style w:type="paragraph" w:styleId="Heading3">
    <w:name w:val="heading 3"/>
    <w:basedOn w:val="Normal"/>
    <w:next w:val="Normal"/>
    <w:qFormat/>
    <w:pPr>
      <w:keepNext w:val="true"/>
      <w:numPr>
        <w:ilvl w:val="2"/>
        <w:numId w:val="1"/>
      </w:numPr>
      <w:jc w:val="center"/>
      <w:outlineLvl w:val="2"/>
    </w:pPr>
    <w:rPr>
      <w:b/>
      <w:sz w:val="32"/>
    </w:rPr>
  </w:style>
  <w:style w:type="paragraph" w:styleId="Heading4">
    <w:name w:val="heading 4"/>
    <w:basedOn w:val="Normal"/>
    <w:next w:val="Normal"/>
    <w:qFormat/>
    <w:pPr>
      <w:keepNext w:val="true"/>
      <w:numPr>
        <w:ilvl w:val="3"/>
        <w:numId w:val="1"/>
      </w:numPr>
      <w:outlineLvl w:val="3"/>
    </w:pPr>
    <w:rPr>
      <w:i/>
      <w:sz w:val="20"/>
    </w:rPr>
  </w:style>
  <w:style w:type="paragraph" w:styleId="Heading5">
    <w:name w:val="heading 5"/>
    <w:basedOn w:val="Normal"/>
    <w:next w:val="Normal"/>
    <w:qFormat/>
    <w:pPr>
      <w:keepNext w:val="true"/>
      <w:numPr>
        <w:ilvl w:val="4"/>
        <w:numId w:val="1"/>
      </w:numPr>
      <w:jc w:val="center"/>
      <w:outlineLvl w:val="4"/>
    </w:pPr>
    <w:rPr>
      <w:b/>
    </w:rPr>
  </w:style>
  <w:style w:type="paragraph" w:styleId="Heading8">
    <w:name w:val="heading 8"/>
    <w:basedOn w:val="Normal"/>
    <w:next w:val="Normal"/>
    <w:qFormat/>
    <w:pPr>
      <w:keepNext w:val="true"/>
      <w:numPr>
        <w:ilvl w:val="7"/>
        <w:numId w:val="1"/>
      </w:numPr>
      <w:ind w:hanging="0" w:start="144" w:end="144"/>
      <w:jc w:val="center"/>
      <w:outlineLvl w:val="7"/>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Times New Roman" w:hAnsi="Times New Roman" w:cs="Times New Roman"/>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Times New Roman" w:hAnsi="Times New Roman" w:cs="Times New Roman"/>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Times New Roman" w:hAnsi="Times New Roman" w:cs="Times New Roman"/>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Times New Roman" w:hAnsi="Times New Roman" w:cs="Times New Roman"/>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color w:val="auto"/>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color w:val="auto"/>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color w:val="auto"/>
    </w:rPr>
  </w:style>
  <w:style w:type="character" w:styleId="WW8Num190z0">
    <w:name w:val="WW8Num190z0"/>
    <w:qFormat/>
    <w:rPr>
      <w:rFonts w:ascii="Symbol" w:hAnsi="Symbol" w:cs="Symbol"/>
    </w:rPr>
  </w:style>
  <w:style w:type="character" w:styleId="WW8Num191z0">
    <w:name w:val="WW8Num191z0"/>
    <w:qFormat/>
    <w:rPr>
      <w:rFonts w:ascii="Wingdings" w:hAnsi="Wingdings" w:cs="Wingdings"/>
    </w:rPr>
  </w:style>
  <w:style w:type="character" w:styleId="WW8Num191z1">
    <w:name w:val="WW8Num191z1"/>
    <w:qFormat/>
    <w:rPr>
      <w:rFonts w:ascii="Courier New" w:hAnsi="Courier New" w:cs="Courier New"/>
    </w:rPr>
  </w:style>
  <w:style w:type="character" w:styleId="WW8Num191z3">
    <w:name w:val="WW8Num191z3"/>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color w:val="auto"/>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color w:val="auto"/>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Times New Roman" w:hAnsi="Times New Roman" w:cs="Times New Roman"/>
    </w:rPr>
  </w:style>
  <w:style w:type="character" w:styleId="WW8Num209z0">
    <w:name w:val="WW8Num209z0"/>
    <w:qFormat/>
    <w:rPr>
      <w:rFonts w:ascii="Symbol" w:hAnsi="Symbol" w:cs="Symbol"/>
      <w:color w:val="auto"/>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auto"/>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1260" w:leader="none"/>
      </w:tabs>
      <w:ind w:hanging="0" w:start="720" w:end="0"/>
    </w:pPr>
    <w:rPr>
      <w:sz w:val="28"/>
    </w:rPr>
  </w:style>
  <w:style w:type="paragraph" w:styleId="FootnoteText">
    <w:name w:val="footnote text"/>
    <w:basedOn w:val="Normal"/>
    <w:pPr/>
    <w:rPr>
      <w:sz w:val="20"/>
    </w:rPr>
  </w:style>
  <w:style w:type="paragraph" w:styleId="BodyText3">
    <w:name w:val="Body Text 3"/>
    <w:basedOn w:val="Normal"/>
    <w:qFormat/>
    <w:pPr/>
    <w:rPr>
      <w:sz w:val="28"/>
    </w:rPr>
  </w:style>
  <w:style w:type="paragraph" w:styleId="BodyTextIndent">
    <w:name w:val="Body Text Indent"/>
    <w:basedOn w:val="Normal"/>
    <w:pPr>
      <w:tabs>
        <w:tab w:val="clear" w:pos="720"/>
        <w:tab w:val="left" w:pos="5940" w:leader="none"/>
      </w:tabs>
      <w:ind w:hanging="630" w:start="5760" w:end="0"/>
    </w:pPr>
    <w:rPr>
      <w:sz w:val="20"/>
    </w:rPr>
  </w:style>
  <w:style w:type="paragraph" w:styleId="BodyText2">
    <w:name w:val="Body Text 2"/>
    <w:basedOn w:val="Normal"/>
    <w:qFormat/>
    <w:pPr>
      <w:tabs>
        <w:tab w:val="clear" w:pos="720"/>
        <w:tab w:val="left" w:pos="1800" w:leader="none"/>
        <w:tab w:val="left" w:pos="4860" w:leader="dot"/>
        <w:tab w:val="left" w:pos="5220" w:leader="dot"/>
        <w:tab w:val="right" w:pos="6930" w:leader="dot"/>
      </w:tabs>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2001-01-02T14:39:00Z</dcterms:created>
  <dc:creator>jstrans</dc:creator>
  <dc:description/>
  <dc:language>en-CA</dc:language>
  <cp:lastModifiedBy>dfuller</cp:lastModifiedBy>
  <cp:lastPrinted>2000-08-28T14:07:00Z</cp:lastPrinted>
  <dcterms:modified xsi:type="dcterms:W3CDTF">2001-01-02T14:39:00Z</dcterms:modified>
  <cp:revision>2</cp:revision>
  <dc:subject/>
  <dc:title>Economic Drivers</dc:title>
</cp:coreProperties>
</file>