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Our business continues to benefit from effective account management and resource allocation focused on identifying and responding to the needs of our varied customers.  In order to keep our organization optimally structured and to facilitate additional growth, the following changes are effective immediately.</w:t>
      </w:r>
    </w:p>
    <w:p>
      <w:pPr>
        <w:pStyle w:val="Normal"/>
        <w:rPr/>
      </w:pPr>
      <w:r>
        <w:rPr/>
      </w:r>
    </w:p>
    <w:p>
      <w:pPr>
        <w:pStyle w:val="Heading1"/>
        <w:ind w:hanging="0" w:start="0"/>
        <w:rPr/>
      </w:pPr>
      <w:r>
        <w:rPr/>
        <w:t>Producer/Wellhead</w:t>
      </w:r>
    </w:p>
    <w:p>
      <w:pPr>
        <w:pStyle w:val="Normal"/>
        <w:rPr/>
      </w:pPr>
      <w:r>
        <w:rPr/>
        <w:t>The current mid-market, origination and wellhead pricing activity currently within the Central and Eastern Gas Regions will be consolidated with the Derivatives group under Fred Lagrasta.  This will create a single business unit focused upon the needs of the producing industry within the Eastern U.S.  The producer focus in the Western U.S. will remain unchanged and will continue to report to Mark Whitt in Denver.</w:t>
      </w:r>
    </w:p>
    <w:p>
      <w:pPr>
        <w:pStyle w:val="Normal"/>
        <w:rPr/>
      </w:pPr>
      <w:r>
        <w:rPr/>
      </w:r>
    </w:p>
    <w:p>
      <w:pPr>
        <w:pStyle w:val="Heading1"/>
        <w:ind w:hanging="0" w:start="0"/>
        <w:rPr/>
      </w:pPr>
      <w:r>
        <w:rPr/>
        <w:t>Strategic Asset Management</w:t>
      </w:r>
    </w:p>
    <w:p>
      <w:pPr>
        <w:pStyle w:val="Normal"/>
        <w:rPr/>
      </w:pPr>
      <w:r>
        <w:rPr/>
        <w:t>Laura Luce will move from her role in the Central Region to lead an effort focused strictly on identifying and entering into long-term strategic asset management arrangements within the Central and Eastern Regions.  This initiative will focus on a limited number of selected markets that provide strategic opportunities for partnering.  This effort will continue to work very closely with the regional leads.</w:t>
      </w:r>
    </w:p>
    <w:p>
      <w:pPr>
        <w:pStyle w:val="Normal"/>
        <w:rPr/>
      </w:pPr>
      <w:r>
        <w:rPr/>
      </w:r>
    </w:p>
    <w:p>
      <w:pPr>
        <w:pStyle w:val="Heading1"/>
        <w:ind w:hanging="0" w:start="0"/>
        <w:rPr/>
      </w:pPr>
      <w:r>
        <w:rPr/>
        <w:t>Central Origination and Mid-Market</w:t>
      </w:r>
    </w:p>
    <w:p>
      <w:pPr>
        <w:pStyle w:val="Normal"/>
        <w:rPr/>
      </w:pPr>
      <w:r>
        <w:rPr/>
        <w:t>Frank Vickers will continue his current role in the Eastern Region and will assume the leadership role vacated by Laura Luce for Mid-Market and Origination activity in the Central Region.</w:t>
      </w:r>
    </w:p>
    <w:p>
      <w:pPr>
        <w:pStyle w:val="Normal"/>
        <w:rPr/>
      </w:pPr>
      <w:r>
        <w:rPr/>
      </w:r>
    </w:p>
    <w:p>
      <w:pPr>
        <w:pStyle w:val="Normal"/>
        <w:rPr/>
      </w:pPr>
      <w:r>
        <w:rPr/>
        <w:t>Scott Neal will continue to lead the Trading activity in the Eastern Region and Hunter Shively will continue to lead the Trading activity in the Central Region.  The Western Region, under Mike Grigsby and Barry Tycholiz, as well as the Texas Region under Tom Martin and Brian Redmond will remain unchanged.</w:t>
      </w:r>
    </w:p>
    <w:p>
      <w:pPr>
        <w:pStyle w:val="Normal"/>
        <w:rPr/>
      </w:pPr>
      <w:r>
        <w:rPr/>
      </w:r>
    </w:p>
    <w:p>
      <w:pPr>
        <w:pStyle w:val="Normal"/>
        <w:rPr/>
      </w:pPr>
      <w:r>
        <w:rPr/>
        <w:t xml:space="preserve">We appreciate your efforts to make this a smooth transition.  It is important that these changes do not disrupt the effort and focus needed to meet our 2001 goals and objectives. We believe these organizational changes will improve our focus and support Enron’s objective to deliver superior products and services to our customers.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2001-10-22T10:43:00Z</dcterms:created>
  <dc:creator>Robin Vickers</dc:creator>
  <dc:description/>
  <dc:language>en-CA</dc:language>
  <cp:lastModifiedBy>fvicker</cp:lastModifiedBy>
  <cp:lastPrinted>2001-10-21T17:58:00Z</cp:lastPrinted>
  <dcterms:modified xsi:type="dcterms:W3CDTF">2001-10-22T11:18:00Z</dcterms:modified>
  <cp:revision>4</cp:revision>
  <dc:subject/>
  <dc:title>Our business continues to benefit from effective account management and resource allocation focused on the needs of our varied</dc:title>
</cp:coreProperties>
</file>