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DRAFT 08/24/00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del w:id="0" w:author="Unknown" w:date="0-00-00T00:00:00Z">
        <w:r>
          <w:rPr/>
          <w:delText>February 17, 2000</w:delText>
        </w:r>
      </w:del>
      <w:r>
        <w:rPr/>
        <w:t>August [__]</w:t>
      </w:r>
      <w:ins w:id="1" w:author="bfunk" w:date="2000-02-29T08:48:00Z">
        <w:r>
          <w:rPr/>
          <w:t xml:space="preserve">, </w:t>
        </w:r>
      </w:ins>
      <w:r>
        <w:rPr/>
        <w:t>2000</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To the Addressees listed </w:t>
      </w:r>
    </w:p>
    <w:p>
      <w:pPr>
        <w:pStyle w:val="Normal"/>
        <w:jc w:val="both"/>
        <w:rPr/>
      </w:pPr>
      <w:r>
        <w:rPr/>
        <w:t xml:space="preserve">     </w:t>
      </w:r>
      <w:r>
        <w:rPr/>
        <w:t>on Schedule I hereto</w:t>
      </w:r>
    </w:p>
    <w:p>
      <w:pPr>
        <w:pStyle w:val="Normal"/>
        <w:jc w:val="both"/>
        <w:rPr/>
      </w:pPr>
      <w:r>
        <w:rPr/>
      </w:r>
    </w:p>
    <w:p>
      <w:pPr>
        <w:pStyle w:val="Normal"/>
        <w:jc w:val="both"/>
        <w:rPr/>
      </w:pPr>
      <w:r>
        <w:rPr/>
        <w:t>Ladies and Gentlemen:</w:t>
      </w:r>
    </w:p>
    <w:p>
      <w:pPr>
        <w:pStyle w:val="Normal"/>
        <w:jc w:val="both"/>
        <w:rPr/>
      </w:pPr>
      <w:r>
        <w:rPr/>
      </w:r>
    </w:p>
    <w:p>
      <w:pPr>
        <w:pStyle w:val="BodyText"/>
        <w:rPr/>
      </w:pPr>
      <w:r>
        <w:rPr/>
        <w:tab/>
        <w:t xml:space="preserve">As Executive Vice President and General Counsel of Enron Corp., an Oregon corporation (“Enron”), I am familiar with the 1992 ISDA Master Agreement dated as of August [__], 2000 between Enron Corp. and ENA CLO I Holding Company I L.P., together with the Schedule thereto and the confirmation of even date therewith evidencing a put option transaction </w:t>
      </w:r>
      <w:del w:id="2" w:author="Unknown" w:date="0-00-00T00:00:00Z">
        <w:r>
          <w:rPr/>
          <w:delText>Guaranty dated as of February ___, 2000 between Enron and Delta Energy Corporation (the “Guaranty”).</w:delText>
        </w:r>
      </w:del>
      <w:r>
        <w:rPr/>
        <w:t xml:space="preserve">(the </w:t>
      </w:r>
      <w:ins w:id="3" w:author="bfunk" w:date="2000-02-29T08:48:00Z">
        <w:r>
          <w:rPr/>
          <w:t>“</w:t>
        </w:r>
      </w:ins>
      <w:r>
        <w:rPr/>
        <w:t>Put Option Agreement</w:t>
      </w:r>
      <w:ins w:id="4" w:author="bfunk" w:date="2000-02-29T08:48:00Z">
        <w:r>
          <w:rPr/>
          <w:t>”)</w:t>
        </w:r>
      </w:ins>
      <w:r>
        <w:rPr/>
        <w:t>,</w:t>
      </w:r>
      <w:ins w:id="5" w:author="bfunk" w:date="2000-02-29T08:48:00Z">
        <w:r>
          <w:rPr/>
          <w:t xml:space="preserve"> and certain aspects of the transactions contemplated thereby.</w:t>
        </w:r>
      </w:ins>
      <w:r>
        <w:rPr/>
        <w:t xml:space="preserve">  In such capacity, I am also familiar with the Amended and Restated Articles of Incorporation and Bylaws of Enron.  All capitalized terms used but not defined herein shall have the respective meanings given to such terms in the Put Option Agreement.</w:t>
      </w:r>
    </w:p>
    <w:p>
      <w:pPr>
        <w:pStyle w:val="Normal"/>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In rendering the opinions hereinafter set forth, I (or other attorneys in the Enron legal department) examined the Put Option Agreement and relied upon original, photostatic or certified copies of such agreements, documents, instruments, corporate records and certificates of officers of Enron and public officials as I (or such attorneys) deemed relevant and necessary as the basis for the opinions hereinafter expressed. In such examination, I (or such attorneys) assumed the genuineness of all signatures (other than signatures of officers of Enron on the Put Option Agreement), the authenticity of all documents submitted to me (or such attorneys) as originals, and the conformity to original documents of all documents submitted to me (or such attorneys) as photostatic or certified copies.</w:t>
      </w:r>
    </w:p>
    <w:p>
      <w:pPr>
        <w:pStyle w:val="Normal"/>
        <w:jc w:val="both"/>
        <w:rPr/>
      </w:pPr>
      <w:r>
        <w:rPr/>
      </w:r>
    </w:p>
    <w:p>
      <w:pPr>
        <w:pStyle w:val="Normal"/>
        <w:jc w:val="both"/>
        <w:rPr/>
      </w:pPr>
      <w:r>
        <w:rPr/>
        <w:tab/>
        <w:t>Based on the foregoing, and subject to the assumptions, qualifications and explanations set forth herein, I am of the opinion that:</w:t>
      </w:r>
    </w:p>
    <w:p>
      <w:pPr>
        <w:pStyle w:val="Normal"/>
        <w:jc w:val="both"/>
        <w:rPr/>
      </w:pPr>
      <w:r>
        <w:rPr/>
      </w:r>
    </w:p>
    <w:p>
      <w:pPr>
        <w:pStyle w:val="BodyText"/>
        <w:tabs>
          <w:tab w:val="left" w:pos="720" w:leader="none"/>
        </w:tabs>
        <w:rPr/>
      </w:pPr>
      <w:r>
        <w:rPr/>
        <w:tab/>
        <w:t>1.</w:t>
        <w:tab/>
        <w:t>Enron is a corporation duly incorporated, validly existing and in good standing under the laws of the State of Oregon.</w:t>
      </w:r>
    </w:p>
    <w:p>
      <w:pPr>
        <w:pStyle w:val="BodyTextIndent"/>
        <w:ind w:hanging="0" w:start="720" w:end="0"/>
        <w:rPr/>
      </w:pPr>
      <w:r>
        <w:rPr/>
      </w:r>
    </w:p>
    <w:p>
      <w:pPr>
        <w:pStyle w:val="BodyTextIndent"/>
        <w:tabs>
          <w:tab w:val="clear" w:pos="1080"/>
        </w:tabs>
        <w:ind w:firstLine="720" w:start="0" w:end="0"/>
        <w:rPr/>
      </w:pPr>
      <w:r>
        <w:rPr/>
        <w:t>2.</w:t>
        <w:tab/>
      </w:r>
      <w:r>
        <w:rPr>
          <w:spacing w:val="-3"/>
        </w:rPr>
        <w:t>The execution, delivery and performance by Enron of the Put Option Agreement are within its corporate powers.  The Put Option Agreement has been duly authorized by all necessary corporate action of Enron, and has been duly executed and delivered by Enron.</w:t>
      </w:r>
    </w:p>
    <w:p>
      <w:pPr>
        <w:pStyle w:val="Normal"/>
        <w:ind w:firstLine="720" w:end="0"/>
        <w:jc w:val="both"/>
        <w:rPr/>
      </w:pPr>
      <w:r>
        <w:rPr/>
      </w:r>
    </w:p>
    <w:p>
      <w:pPr>
        <w:pStyle w:val="BodyTextIndent"/>
        <w:tabs>
          <w:tab w:val="clear" w:pos="1080"/>
        </w:tabs>
        <w:ind w:firstLine="720" w:start="0" w:end="0"/>
        <w:rPr/>
      </w:pPr>
      <w:r>
        <w:rPr/>
        <w:t>3.</w:t>
        <w:tab/>
        <w:t>The execution, delivery and performance by Enron of the Put Option Agreement, and the consummation by Enron of the transactions evidenced thereby do not constitute a contravention or default by Enron under (a) Enron's Amended and Restated Articles of Incorporation or Bylaws, each as amended, (b) any judgment, injunction, order or decree known to me to be binding upon Enron, or (c) any contractual restriction contained in any material (meaning for the purposes of this opinion those creating a monetary liability of $100,000,000 or more) contract, agreement, indenture, mortgage, bond, note or any guaranty of any of such obligations, in each case known to me and to which Enron is subject.</w:t>
      </w:r>
    </w:p>
    <w:p>
      <w:pPr>
        <w:pStyle w:val="BodyTextIndent"/>
        <w:tabs>
          <w:tab w:val="clear" w:pos="1080"/>
        </w:tabs>
        <w:ind w:firstLine="720" w:start="0" w:end="0"/>
        <w:rPr/>
      </w:pPr>
      <w:r>
        <w:rPr/>
      </w:r>
    </w:p>
    <w:p>
      <w:pPr>
        <w:pStyle w:val="BodyTextIndent"/>
        <w:tabs>
          <w:tab w:val="clear" w:pos="1080"/>
        </w:tabs>
        <w:ind w:firstLine="720" w:start="0" w:end="0"/>
        <w:rPr/>
      </w:pPr>
      <w:r>
        <w:rPr/>
        <w:t>4.</w:t>
        <w:tab/>
        <w:t>The execution, delivery and performance by Enron of the Put Option Agreement will not result in the creation or imposition of any lien, security interest, or other charge or encumbrance on any asset of Enron, other than (a) pursuant to the Put Option Agreement or (b) those that would not materially and adversely affect (i) the business, consolidated financial position or consolidated results of operations of Enron and its subsidiaries taken as a whole, or (ii) the ability of Enron to perform its obligations under the Put Option Agreement.</w:t>
      </w:r>
    </w:p>
    <w:p>
      <w:pPr>
        <w:pStyle w:val="Normal"/>
        <w:ind w:firstLine="720" w:end="0"/>
        <w:jc w:val="both"/>
        <w:rPr/>
      </w:pPr>
      <w:r>
        <w:rPr/>
      </w:r>
    </w:p>
    <w:p>
      <w:pPr>
        <w:pStyle w:val="Normal"/>
        <w:suppressAutoHyphens w:val="true"/>
        <w:overflowPunct w:val="false"/>
        <w:autoSpaceDE w:val="false"/>
        <w:ind w:firstLine="720" w:end="0"/>
        <w:jc w:val="both"/>
        <w:rPr/>
      </w:pPr>
      <w:r>
        <w:rPr/>
        <w:t>5.</w:t>
        <w:tab/>
        <w:t xml:space="preserve">Except as disclosed in Enron’s (i) Annual Report to Shareholders for the year ended December 31, 1999, (ii) Annual Report on Form 10-K for the year ended December 31, 1999, (iii) Quarterly Reports on Form 10-Q for each of the periods ended March 31, 2000 and June 30, 2000, and (iv) definitive proxy statement with respect to its Annual Meeting of Stockholders held May 2, 2000, </w:t>
      </w:r>
      <w:r>
        <w:rPr>
          <w:spacing w:val="-3"/>
        </w:rPr>
        <w:t>to my knowledge there is no action, suit or proceeding pending or threatened against Enron or any of its subsidiaries before any court or arbitrator, or any governmental body, agency or official (a) with respect to the Put Option Agreement, or (b) in which there is a reasonable possibility of an adverse decision that would materially and adversely affect (i) the business, consolidated financial position or consolidated results of operations of Enron and its subsidiaries taken as a whole, or (ii) the ability of Enron to perform its obligations under the Put Option Agreement.</w:t>
      </w:r>
    </w:p>
    <w:p>
      <w:pPr>
        <w:pStyle w:val="BodyTextIndent2"/>
        <w:ind w:firstLine="720" w:start="0" w:end="0"/>
        <w:rPr>
          <w:spacing w:val="-3"/>
        </w:rPr>
      </w:pPr>
      <w:r>
        <w:rPr>
          <w:spacing w:val="-3"/>
        </w:rPr>
      </w:r>
    </w:p>
    <w:p>
      <w:pPr>
        <w:pStyle w:val="BodyTextIndent2"/>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rPr>
          <w:ins w:id="8" w:author="bfunk" w:date="2000-02-29T08:48:00Z"/>
        </w:rPr>
      </w:pPr>
      <w:r>
        <w:rPr/>
        <w:t>6</w:t>
      </w:r>
      <w:ins w:id="6" w:author="bfunk" w:date="2000-02-29T08:48:00Z">
        <w:r>
          <w:rPr/>
          <w:t>.</w:t>
          <w:tab/>
          <w:t xml:space="preserve">The execution, delivery and performance by Enron of the </w:t>
        </w:r>
      </w:ins>
      <w:r>
        <w:rPr/>
        <w:t>Put Option Agreement</w:t>
      </w:r>
      <w:ins w:id="7" w:author="bfunk" w:date="2000-02-29T08:48:00Z">
        <w:r>
          <w:rPr/>
          <w:t xml:space="preserve"> do not require the consent or approval of, the giving of notice to, the registration, filing or recording with, or any taking of any action by, any governmental authority in the State of Oregon or the State of Texas.</w:t>
        </w:r>
      </w:ins>
    </w:p>
    <w:p>
      <w:pPr>
        <w:pStyle w:val="BodyTextIndent2"/>
        <w:rPr>
          <w:ins w:id="10" w:author="bfunk" w:date="2000-02-29T08:48:00Z"/>
        </w:rPr>
      </w:pPr>
      <w:ins w:id="9" w:author="bfunk" w:date="2000-02-29T08:48:00Z">
        <w:r>
          <w:rPr/>
        </w:r>
      </w:ins>
    </w:p>
    <w:p>
      <w:pPr>
        <w:pStyle w:val="Normal"/>
        <w:ind w:start="720" w:end="0"/>
        <w:jc w:val="both"/>
        <w:rPr/>
      </w:pPr>
      <w:r>
        <w:rPr/>
        <w:t>The opinions set forth above are subject in all respects to the following qualifications:</w:t>
      </w:r>
    </w:p>
    <w:p>
      <w:pPr>
        <w:pStyle w:val="Normal"/>
        <w:ind w:start="720" w:end="0"/>
        <w:jc w:val="both"/>
        <w:rPr/>
      </w:pPr>
      <w:r>
        <w:rPr/>
      </w:r>
    </w:p>
    <w:p>
      <w:pPr>
        <w:pStyle w:val="BodyTextIndent3"/>
        <w:numPr>
          <w:ilvl w:val="0"/>
          <w:numId w:val="2"/>
        </w:numPr>
        <w:tabs>
          <w:tab w:val="left" w:pos="720" w:leader="none"/>
        </w:tabs>
        <w:rPr/>
      </w:pPr>
      <w:r>
        <w:rPr/>
        <w:t>In rendering the opinion expressed in paragraph 3 above, neither I nor any other attorney in the Enron legal department has made any examination of any accounting or financial matters related to the covenants contained in certain documents to which Enron may be subject, and I express no opinion with respect thereto.</w:t>
      </w:r>
    </w:p>
    <w:p>
      <w:pPr>
        <w:pStyle w:val="BodyTextIndent3"/>
        <w:rPr/>
      </w:pPr>
      <w:r>
        <w:rPr/>
      </w:r>
    </w:p>
    <w:p>
      <w:pPr>
        <w:pStyle w:val="BodyTextIndent3"/>
        <w:numPr>
          <w:ilvl w:val="0"/>
          <w:numId w:val="2"/>
        </w:numPr>
        <w:rPr/>
      </w:pPr>
      <w:r>
        <w:rPr/>
        <w:t>In rendering the opinion expressed in paragraph 5 above, I (or other attorneys in the Enron legal department) have only reviewed the files and records of Enron, and have consulted with such senior Enron officers as I (or such attorneys) have deemed necessary.</w:t>
      </w:r>
    </w:p>
    <w:p>
      <w:pPr>
        <w:pStyle w:val="BodyTextIndent3"/>
        <w:tabs>
          <w:tab w:val="clear" w:pos="720"/>
          <w:tab w:val="left" w:pos="1440" w:leader="none"/>
        </w:tabs>
        <w:ind w:hanging="720" w:start="1440" w:end="0"/>
        <w:rPr/>
      </w:pPr>
      <w:r>
        <w:rPr/>
      </w:r>
    </w:p>
    <w:p>
      <w:pPr>
        <w:pStyle w:val="BodyTextIndent3"/>
        <w:numPr>
          <w:ilvl w:val="0"/>
          <w:numId w:val="2"/>
        </w:numPr>
        <w:rPr/>
      </w:pPr>
      <w:r>
        <w:rPr/>
        <w:t>The opinions expressed herein are as of the date hereof only, and I assume no obligation to update or supplement such opinions to reflect any fact or circumstances that may hereafter come to my attention or any changes in law that may hereafter occur or become effective.</w:t>
      </w:r>
    </w:p>
    <w:p>
      <w:pPr>
        <w:pStyle w:val="BodyTextIndent3"/>
        <w:tabs>
          <w:tab w:val="clear" w:pos="720"/>
          <w:tab w:val="left" w:pos="1440" w:leader="none"/>
        </w:tabs>
        <w:ind w:hanging="720" w:start="1440" w:end="0"/>
        <w:rPr/>
      </w:pPr>
      <w:r>
        <w:rPr/>
      </w:r>
    </w:p>
    <w:p>
      <w:pPr>
        <w:pStyle w:val="BodyTextIndent3"/>
        <w:numPr>
          <w:ilvl w:val="0"/>
          <w:numId w:val="2"/>
        </w:numPr>
        <w:rPr/>
      </w:pPr>
      <w:r>
        <w:rPr/>
        <w:t>I am a member of the bar of the State of Texas.  This opinion related solely to matters of Texas and federal law and the Oregon Business Corporation Act.</w:t>
      </w:r>
    </w:p>
    <w:p>
      <w:pPr>
        <w:pStyle w:val="BodyTextIndent3"/>
        <w:ind w:hanging="0" w:end="0"/>
        <w:rPr/>
      </w:pPr>
      <w:r>
        <w:rPr/>
      </w:r>
    </w:p>
    <w:p>
      <w:pPr>
        <w:pStyle w:val="BodyTextIndent3"/>
        <w:rPr/>
      </w:pPr>
      <w:r>
        <w:rPr/>
        <w:t xml:space="preserve">This opinion is furnished in connection with the transactions evidenced by the </w:t>
      </w:r>
      <w:del w:id="11" w:author="Unknown" w:date="0-00-00T00:00:00Z">
        <w:r>
          <w:rPr/>
          <w:delText>Guaranty</w:delText>
        </w:r>
      </w:del>
      <w:r>
        <w:rPr/>
        <w:t xml:space="preserve">Put Option Agreement and anticipated in connection therewith and may not be relied upon in connection with any other transaction or by any person other than you; provided, however, Vinson &amp; Elkins, L.L.P. may rely upon this opinion for purposes of rendering its opinion in connection with the </w:t>
      </w:r>
      <w:del w:id="12" w:author="Unknown" w:date="0-00-00T00:00:00Z">
        <w:r>
          <w:rPr/>
          <w:delText>Guaranty.</w:delText>
        </w:r>
      </w:del>
      <w:r>
        <w:rPr/>
        <w:t>Put Option Agreement</w:t>
      </w:r>
      <w:ins w:id="13" w:author="bfunk" w:date="2000-02-29T08:48:00Z">
        <w:r>
          <w:rPr/>
          <w:t>.</w:t>
        </w:r>
      </w:ins>
    </w:p>
    <w:p>
      <w:pPr>
        <w:pStyle w:val="BodyTextIndent3"/>
        <w:rPr/>
      </w:pPr>
      <w:r>
        <w:rPr/>
      </w:r>
    </w:p>
    <w:p>
      <w:pPr>
        <w:pStyle w:val="BodyTextIndent3"/>
        <w:rPr/>
      </w:pPr>
      <w:r>
        <w:rPr/>
        <w:tab/>
        <w:tab/>
        <w:tab/>
        <w:tab/>
        <w:tab/>
        <w:tab/>
        <w:t>Very truly yours,</w:t>
      </w:r>
    </w:p>
    <w:p>
      <w:pPr>
        <w:pStyle w:val="Normal"/>
        <w:ind w:firstLine="720" w:end="0"/>
        <w:jc w:val="both"/>
        <w:rPr/>
      </w:pPr>
      <w:r>
        <w:rPr/>
      </w:r>
    </w:p>
    <w:p>
      <w:pPr>
        <w:pStyle w:val="Normal"/>
        <w:ind w:firstLine="720" w:end="0"/>
        <w:jc w:val="both"/>
        <w:rPr/>
      </w:pPr>
      <w:r>
        <w:rPr/>
      </w:r>
      <w:r>
        <w:br w:type="page"/>
      </w:r>
    </w:p>
    <w:p>
      <w:pPr>
        <w:pStyle w:val="Normal"/>
        <w:ind w:start="720" w:end="0"/>
        <w:jc w:val="both"/>
        <w:rPr/>
      </w:pPr>
      <w:r>
        <w:rPr/>
        <w:tab/>
      </w:r>
    </w:p>
    <w:p>
      <w:pPr>
        <w:pStyle w:val="Normal"/>
        <w:jc w:val="both"/>
        <w:rPr/>
      </w:pPr>
      <w:r>
        <w:rPr/>
      </w:r>
    </w:p>
    <w:p>
      <w:pPr>
        <w:pStyle w:val="Normal"/>
        <w:jc w:val="center"/>
        <w:rPr>
          <w:u w:val="single"/>
        </w:rPr>
      </w:pPr>
      <w:r>
        <w:rPr>
          <w:u w:val="single"/>
        </w:rPr>
        <w:t>Schedule I</w:t>
      </w:r>
    </w:p>
    <w:p>
      <w:pPr>
        <w:pStyle w:val="Normal"/>
        <w:jc w:val="center"/>
        <w:rPr>
          <w:u w:val="single"/>
        </w:rPr>
      </w:pPr>
      <w:r>
        <w:rPr>
          <w:u w:val="single"/>
        </w:rPr>
      </w:r>
    </w:p>
    <w:p>
      <w:pPr>
        <w:pStyle w:val="Normal"/>
        <w:jc w:val="center"/>
        <w:rPr/>
      </w:pPr>
      <w:r>
        <w:rPr/>
        <w:t>Addressees</w:t>
      </w:r>
    </w:p>
    <w:p>
      <w:pPr>
        <w:pStyle w:val="Normal"/>
        <w:tabs>
          <w:tab w:val="clear" w:pos="720"/>
          <w:tab w:val="left" w:pos="-1440" w:leader="none"/>
          <w:tab w:val="left" w:pos="-720" w:leader="none"/>
        </w:tabs>
        <w:suppressAutoHyphens w:val="true"/>
        <w:jc w:val="both"/>
        <w:rPr/>
      </w:pPr>
      <w:r>
        <w:rPr/>
      </w:r>
    </w:p>
    <w:p>
      <w:pPr>
        <w:pStyle w:val="Normal"/>
        <w:rPr/>
      </w:pPr>
      <w:r>
        <w:rPr/>
      </w:r>
    </w:p>
    <w:p>
      <w:pPr>
        <w:pStyle w:val="Normal"/>
        <w:rPr/>
      </w:pPr>
      <w:r>
        <w:rPr/>
        <w:t>ENA CLO I Trust</w:t>
      </w:r>
    </w:p>
    <w:p>
      <w:pPr>
        <w:pStyle w:val="Normal"/>
        <w:rPr/>
      </w:pPr>
      <w:r>
        <w:rPr/>
        <w:t>c/o Wilmington Trust Company</w:t>
      </w:r>
    </w:p>
    <w:p>
      <w:pPr>
        <w:pStyle w:val="Normal"/>
        <w:rPr/>
      </w:pPr>
      <w:r>
        <w:rPr/>
        <w:t>Rodney Square North</w:t>
      </w:r>
    </w:p>
    <w:p>
      <w:pPr>
        <w:pStyle w:val="Normal"/>
        <w:rPr/>
      </w:pPr>
      <w:r>
        <w:rPr/>
        <w:t>1100 North Market Street</w:t>
      </w:r>
    </w:p>
    <w:p>
      <w:pPr>
        <w:pStyle w:val="Normal"/>
        <w:rPr/>
      </w:pPr>
      <w:r>
        <w:rPr/>
        <w:t>Wilmington, Delaware 19890-0001</w:t>
      </w:r>
    </w:p>
    <w:p>
      <w:pPr>
        <w:pStyle w:val="Normal"/>
        <w:rPr/>
      </w:pPr>
      <w:r>
        <w:rPr/>
      </w:r>
    </w:p>
    <w:p>
      <w:pPr>
        <w:pStyle w:val="Normal"/>
        <w:rPr/>
      </w:pPr>
      <w:r>
        <w:rPr/>
        <w:t>Wilmington Trust Company</w:t>
      </w:r>
    </w:p>
    <w:p>
      <w:pPr>
        <w:pStyle w:val="Normal"/>
        <w:rPr/>
      </w:pPr>
      <w:r>
        <w:rPr/>
        <w:t>Rodney Square North</w:t>
      </w:r>
    </w:p>
    <w:p>
      <w:pPr>
        <w:pStyle w:val="Normal"/>
        <w:rPr/>
      </w:pPr>
      <w:r>
        <w:rPr/>
        <w:t>1100 North Market Street</w:t>
      </w:r>
    </w:p>
    <w:p>
      <w:pPr>
        <w:pStyle w:val="Normal"/>
        <w:rPr/>
      </w:pPr>
      <w:r>
        <w:rPr/>
        <w:t>Wilmington, Delaware 19890-0001</w:t>
      </w:r>
    </w:p>
    <w:p>
      <w:pPr>
        <w:pStyle w:val="Normal"/>
        <w:rPr/>
      </w:pPr>
      <w:r>
        <w:rPr/>
      </w:r>
    </w:p>
    <w:p>
      <w:pPr>
        <w:pStyle w:val="Normal"/>
        <w:rPr/>
      </w:pPr>
      <w:r>
        <w:rPr/>
        <w:t>LJM2 Co-Investment, L.P.</w:t>
      </w:r>
    </w:p>
    <w:p>
      <w:pPr>
        <w:pStyle w:val="Normal"/>
        <w:rPr/>
      </w:pPr>
      <w:r>
        <w:rPr/>
        <w:t>1831 Wroxton Road</w:t>
      </w:r>
    </w:p>
    <w:p>
      <w:pPr>
        <w:pStyle w:val="Normal"/>
        <w:rPr/>
      </w:pPr>
      <w:r>
        <w:rPr/>
        <w:t>Houston, Texas  77005</w:t>
      </w:r>
    </w:p>
    <w:p>
      <w:pPr>
        <w:pStyle w:val="Normal"/>
        <w:rPr/>
      </w:pPr>
      <w:r>
        <w:rPr/>
        <w:t>Attention:  General Partner</w:t>
      </w:r>
    </w:p>
    <w:p>
      <w:pPr>
        <w:pStyle w:val="Normal"/>
        <w:rPr/>
      </w:pPr>
      <w:r>
        <w:rPr/>
      </w:r>
    </w:p>
    <w:p>
      <w:pPr>
        <w:pStyle w:val="Normal"/>
        <w:rPr/>
      </w:pPr>
      <w:r>
        <w:rPr/>
        <w:t>Chase Bank of Texas, National Association</w:t>
      </w:r>
    </w:p>
    <w:p>
      <w:pPr>
        <w:pStyle w:val="Normal"/>
        <w:rPr>
          <w:del w:id="15" w:author="Unknown" w:date="0-00-00T00:00:00Z"/>
        </w:rPr>
      </w:pPr>
      <w:r>
        <w:rPr/>
        <w:t>600 Travis, 50th Floor</w:t>
      </w:r>
      <w:del w:id="14" w:author="Unknown" w:date="0-00-00T00:00:00Z">
        <w:r>
          <w:rPr/>
          <w:delText>United States Trust Company of New York, as Fiscal Agent andSecurities Intermediary</w:delText>
        </w:r>
      </w:del>
    </w:p>
    <w:p>
      <w:pPr>
        <w:pStyle w:val="Normal"/>
        <w:rPr>
          <w:ins w:id="17" w:author="bfunk" w:date="2000-02-29T08:48:00Z"/>
        </w:rPr>
      </w:pPr>
      <w:ins w:id="16" w:author="bfunk" w:date="2000-02-29T08:48:00Z">
        <w:r>
          <w:rPr/>
        </w:r>
      </w:ins>
    </w:p>
    <w:p>
      <w:pPr>
        <w:pStyle w:val="Normal"/>
        <w:rPr>
          <w:lang w:eastAsia="en-US"/>
        </w:rPr>
      </w:pPr>
      <w:r>
        <w:rPr>
          <w:lang w:eastAsia="en-US"/>
        </w:rPr>
        <w:t>Houston, Texas  77002</w:t>
      </w:r>
    </w:p>
    <w:p>
      <w:pPr>
        <w:pStyle w:val="Normal"/>
        <w:rPr>
          <w:lang w:eastAsia="en-US"/>
        </w:rPr>
      </w:pPr>
      <w:r>
        <w:rPr>
          <w:lang w:eastAsia="en-US"/>
        </w:rPr>
      </w:r>
    </w:p>
    <w:p>
      <w:pPr>
        <w:pStyle w:val="Normal"/>
        <w:rPr>
          <w:lang w:eastAsia="en-US"/>
        </w:rPr>
      </w:pPr>
      <w:r>
        <w:rPr>
          <w:lang w:eastAsia="en-US"/>
        </w:rPr>
        <w:t>Fitch IBCA, Inc.</w:t>
      </w:r>
    </w:p>
    <w:p>
      <w:pPr>
        <w:pStyle w:val="Normal"/>
        <w:rPr>
          <w:lang w:eastAsia="en-US"/>
        </w:rPr>
      </w:pPr>
      <w:r>
        <w:rPr>
          <w:lang w:eastAsia="en-US"/>
        </w:rPr>
        <w:t>One State Street Plaza</w:t>
      </w:r>
    </w:p>
    <w:p>
      <w:pPr>
        <w:pStyle w:val="Normal"/>
        <w:rPr>
          <w:lang w:eastAsia="en-US"/>
        </w:rPr>
      </w:pPr>
      <w:r>
        <w:rPr>
          <w:lang w:eastAsia="en-US"/>
        </w:rPr>
        <w:t>New York, New York  10002</w:t>
      </w:r>
    </w:p>
    <w:p>
      <w:pPr>
        <w:pStyle w:val="Normal"/>
        <w:rPr>
          <w:lang w:eastAsia="en-US"/>
        </w:rPr>
      </w:pPr>
      <w:r>
        <w:rPr>
          <w:lang w:eastAsia="en-US"/>
        </w:rPr>
      </w:r>
    </w:p>
    <w:p>
      <w:pPr>
        <w:pStyle w:val="Normal"/>
        <w:rPr>
          <w:lang w:eastAsia="en-US"/>
        </w:rPr>
      </w:pPr>
      <w:r>
        <w:rPr>
          <w:lang w:eastAsia="en-US"/>
        </w:rPr>
        <w:t>Moody's Investors Service, Inc.</w:t>
      </w:r>
    </w:p>
    <w:p>
      <w:pPr>
        <w:pStyle w:val="Normal"/>
        <w:rPr>
          <w:lang w:eastAsia="en-US"/>
        </w:rPr>
      </w:pPr>
      <w:r>
        <w:rPr>
          <w:lang w:eastAsia="en-US"/>
        </w:rPr>
        <w:t>99 Church Street, 4th Floor</w:t>
      </w:r>
    </w:p>
    <w:p>
      <w:pPr>
        <w:pStyle w:val="Normal"/>
        <w:rPr>
          <w:lang w:eastAsia="en-US"/>
        </w:rPr>
      </w:pPr>
      <w:r>
        <w:rPr>
          <w:lang w:eastAsia="en-US"/>
        </w:rPr>
        <w:t>New York, New York  10004</w:t>
      </w:r>
    </w:p>
    <w:p>
      <w:pPr>
        <w:pStyle w:val="Normal"/>
        <w:rPr>
          <w:lang w:eastAsia="en-US"/>
        </w:rPr>
      </w:pPr>
      <w:r>
        <w:rPr>
          <w:lang w:eastAsia="en-US"/>
        </w:rPr>
      </w:r>
    </w:p>
    <w:p>
      <w:pPr>
        <w:pStyle w:val="Normal"/>
        <w:rPr>
          <w:lang w:eastAsia="en-US"/>
        </w:rPr>
      </w:pPr>
      <w:r>
        <w:rPr>
          <w:lang w:eastAsia="en-US"/>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Houston:307678 v 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rPr>
      <w:t>August [__], 2000</w:t>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rFonts w:ascii="Symbol" w:hAnsi="Symbol" w:cs="Symbol"/>
      <w:color w:val="auto"/>
      <w:sz w:val="16"/>
    </w:rPr>
  </w:style>
  <w:style w:type="character" w:styleId="WW8Num4z0">
    <w:name w:val="WW8Num4z0"/>
    <w:qFormat/>
    <w:rPr/>
  </w:style>
  <w:style w:type="character" w:styleId="WW8Num6z0">
    <w:name w:val="WW8Num6z0"/>
    <w:qFormat/>
    <w:rPr/>
  </w:style>
  <w:style w:type="character" w:styleId="WW8Num10z0">
    <w:name w:val="WW8Num10z0"/>
    <w:qFormat/>
    <w:rPr/>
  </w:style>
  <w:style w:type="character" w:styleId="WW8Num11z0">
    <w:name w:val="WW8Num11z0"/>
    <w:qFormat/>
    <w:rPr>
      <w:rFonts w:ascii="Symbol" w:hAnsi="Symbol" w:cs="Symbol"/>
      <w:color w:val="auto"/>
      <w:sz w:val="16"/>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080" w:leader="none"/>
      </w:tabs>
      <w:ind w:hanging="360" w:start="1080" w:end="0"/>
      <w:jc w:val="both"/>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firstLine="720" w:start="0" w:end="0"/>
      <w:jc w:val="both"/>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2000-08-25T13:22:00Z</dcterms:created>
  <dc:creator>rkarsolich</dc:creator>
  <dc:description/>
  <dc:language>en-CA</dc:language>
  <cp:lastModifiedBy>VE</cp:lastModifiedBy>
  <cp:lastPrinted>2000-08-24T15:23:00Z</cp:lastPrinted>
  <dcterms:modified xsi:type="dcterms:W3CDTF">2000-08-25T13:22:00Z</dcterms:modified>
  <cp:revision>2</cp:revision>
  <dc:subject/>
  <dc:title>February 17, 2000</dc:title>
</cp:coreProperties>
</file>