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Credit Trading</w:t>
      </w:r>
    </w:p>
    <w:p>
      <w:pPr>
        <w:pStyle w:val="Normal"/>
        <w:rPr>
          <w:b/>
          <w:sz w:val="28"/>
          <w:u w:val="single"/>
        </w:rPr>
      </w:pPr>
      <w:r>
        <w:rPr>
          <w:b/>
          <w:sz w:val="28"/>
          <w:u w:val="single"/>
        </w:rPr>
      </w:r>
    </w:p>
    <w:p>
      <w:pPr>
        <w:pStyle w:val="Heading2"/>
        <w:ind w:hanging="0" w:start="0"/>
        <w:rPr/>
      </w:pPr>
      <w:r>
        <w:rPr/>
        <w:t>Background</w:t>
      </w:r>
    </w:p>
    <w:p>
      <w:pPr>
        <w:pStyle w:val="Normal"/>
        <w:rPr/>
      </w:pPr>
      <w:r>
        <w:rPr/>
      </w:r>
    </w:p>
    <w:p>
      <w:pPr>
        <w:pStyle w:val="Normal"/>
        <w:rPr/>
      </w:pPr>
      <w:r>
        <w:rPr/>
        <w:t>In simple terms credit risk is the risk that a counterparty cannot or is unwilling to pay you – either on time or at all. All bilateral transactions give rise to credit risks in respect of the financial obligations between counterparties. A typical company will have many counterparties, and so will find itself with a portfolio of credit risks – covering a range of both counterparties and tenors. Having too much credit exposure to a single counterparty, or to a group of counterparties that could all be adversely affected by a single extraneous event, is a major risk for companies. To prevent the risk becoming too great, companies seek to implement policies to manage their credit risk. Counterparty risk management is critical to the success of any company engaged in the forward purchase and sale of goods and services. History has proven that casualties can occur at any time and often without due warning – companies suffering from market and/or credit losses have gone bankrupt. In most cases these losses could have been avoided through the systematic measurement, evaluation and hedging of the inherent risks</w:t>
      </w:r>
    </w:p>
    <w:p>
      <w:pPr>
        <w:pStyle w:val="Normal"/>
        <w:rPr/>
      </w:pPr>
      <w:r>
        <w:rPr/>
      </w:r>
    </w:p>
    <w:p>
      <w:pPr>
        <w:pStyle w:val="Normal"/>
        <w:rPr/>
      </w:pPr>
      <w:r>
        <w:rPr/>
        <w:t>For many companies, the nature of their credit risk is changing. Globalisation of all markets, linked with de-regulation of many sectors (e.g. energy), is changing the players in these markets – and leading to new relationships with existing players.  It is also increasing the volatility in many markets – which means that the value of a company’s credit risk is potentially changing dynamically and more rapidly. With the expansion of B2B marketplaces, companies that can react quickly to opportunities are at an advantage. Credit is a key part of the selling decision – and so the pressure is on for companies to evaluate the credit consequences of a potential sale in real time. B2B marketplaces also have the potential to bring new counterparties from out-of-the-blue – companies need to be able to respond very rapidly to supply requests from such new counterparties else business will be lost to nimbler competitors.</w:t>
      </w:r>
    </w:p>
    <w:p>
      <w:pPr>
        <w:pStyle w:val="Normal"/>
        <w:rPr/>
      </w:pPr>
      <w:r>
        <w:rPr/>
      </w:r>
    </w:p>
    <w:p>
      <w:pPr>
        <w:pStyle w:val="Heading2"/>
        <w:ind w:hanging="0" w:start="0"/>
        <w:rPr/>
      </w:pPr>
      <w:r>
        <w:rPr/>
        <w:t>Current Market</w:t>
      </w:r>
    </w:p>
    <w:p>
      <w:pPr>
        <w:pStyle w:val="Normal"/>
        <w:rPr/>
      </w:pPr>
      <w:r>
        <w:rPr/>
      </w:r>
    </w:p>
    <w:p>
      <w:pPr>
        <w:pStyle w:val="Normal"/>
        <w:rPr/>
      </w:pPr>
      <w:r>
        <w:rPr/>
        <w:t>In the traditional approach to credit, an originator will seek credit approval for each new transaction. The credit group will consider the request and then either (i) refuse the request, or (ii) approve it and establish a limit and any necessary trading conditions that would be applied, e.g. any requirements for credit enhancement. A credit position would be held by the company for the full term of the transaction – with regular review by the credit group of the limits and trading conditions to be applied to counterparties. The implications of this approach are several: (1) risky counterparties are avoided altogether. (2) Originators do not see the “cost” of taking the credit risk in their transactions – this may lead to inappropriate selection between competing transactions. (3) In the extreme, it may encourage originators to enter into riskier transactions as these may offer an apparent premium to the market. (4) Credit risk is held to term – this means that companies may build up unacceptable exposures to particular counterparties or sectors that may limit the scope of future business being undertaken. (5) In its most serious form, a company may be forced to abandon transactions in an area in which it is successful due to the excessive credit exposure being held. (6) The credit risk brought to the portfolio by a new transaction is considered at its outset, but is not dynamically reassessed.  This weakness is particularly significant with derivative products for which exposure can change significantly during their life.</w:t>
      </w:r>
    </w:p>
    <w:p>
      <w:pPr>
        <w:pStyle w:val="Normal"/>
        <w:rPr/>
      </w:pPr>
      <w:r>
        <w:rPr/>
      </w:r>
    </w:p>
    <w:p>
      <w:pPr>
        <w:pStyle w:val="Normal"/>
        <w:rPr/>
      </w:pPr>
      <w:r>
        <w:rPr/>
        <w:t>Under the new paradigm, credit risk is managed dynamically. A credit “cost” is charged for each transaction – so that an originator can see the true value of a transaction with the risk of default taken into account. This credit cost is set as the minimum of (i) the incremental effect on the expected loss of the pre-existing portfolio of credit risk and (ii) the cost of “hedging” the new risk in the credit derivative market. In some cases, the incremental effect of a new credit risk may be positive and reduce the overall risk in the credit portfolio. In this approach, an originator can transact with any number of counterparties  – the riskier the counterparty the higher the credit cost which will be charged.</w:t>
      </w:r>
    </w:p>
    <w:p>
      <w:pPr>
        <w:pStyle w:val="Normal"/>
        <w:rPr/>
      </w:pPr>
      <w:r>
        <w:rPr/>
      </w:r>
    </w:p>
    <w:p>
      <w:pPr>
        <w:pStyle w:val="Normal"/>
        <w:rPr/>
      </w:pPr>
      <w:r>
        <w:rPr/>
        <w:t xml:space="preserve">In addition, when evaluating the expected loss of the portfolio of credit risk, market risk is explicitly treated. The nature of the credit portfolio is continuously re-assessed to take account of movements in the markets – for a commodity based transaction such reassessments would consider the changing nature of the current and expected future exposure, and also the potentially changing credit status of counterparties in the portfolio. </w:t>
      </w:r>
    </w:p>
    <w:p>
      <w:pPr>
        <w:pStyle w:val="Normal"/>
        <w:rPr/>
      </w:pPr>
      <w:r>
        <w:rPr/>
      </w:r>
    </w:p>
    <w:p>
      <w:pPr>
        <w:pStyle w:val="Heading2"/>
        <w:ind w:hanging="0" w:start="0"/>
        <w:rPr/>
      </w:pPr>
      <w:r>
        <w:rPr/>
        <w:t>Products</w:t>
      </w:r>
    </w:p>
    <w:p>
      <w:pPr>
        <w:pStyle w:val="Normal"/>
        <w:rPr/>
      </w:pPr>
      <w:r>
        <w:rPr/>
      </w:r>
    </w:p>
    <w:p>
      <w:pPr>
        <w:pStyle w:val="Normal"/>
        <w:rPr/>
      </w:pPr>
      <w:r>
        <w:rPr/>
        <w:t>The range of products on offer in the credit derivative markets is not particularly broad.  The products are not well suited to corporate credit risk management: in general they have been designed to handle the credit risk held by financial institutions and hence are an inefficient way of transferring credit risks from commercial contracts between companies.</w:t>
      </w:r>
    </w:p>
    <w:p>
      <w:pPr>
        <w:pStyle w:val="Normal"/>
        <w:rPr/>
      </w:pPr>
      <w:r>
        <w:rPr/>
      </w:r>
    </w:p>
    <w:p>
      <w:pPr>
        <w:pStyle w:val="Normal"/>
        <w:rPr/>
      </w:pPr>
      <w:r>
        <w:rPr/>
        <w:t>Standard products on offer at present are:</w:t>
      </w:r>
    </w:p>
    <w:p>
      <w:pPr>
        <w:pStyle w:val="Normal"/>
        <w:rPr/>
      </w:pPr>
      <w:r>
        <w:rPr/>
      </w:r>
    </w:p>
    <w:p>
      <w:pPr>
        <w:pStyle w:val="Normal"/>
        <w:numPr>
          <w:ilvl w:val="0"/>
          <w:numId w:val="2"/>
        </w:numPr>
        <w:rPr/>
      </w:pPr>
      <w:r>
        <w:rPr/>
        <w:t xml:space="preserve">Credit Default Swaps: The simplest form of a credit derivative is a Default Swap.  In exchange for paying a premium, the buyer of the “swap” has the right to put the reference bond to the seller of the “swap” (known as physical delivery) if a credit event occurs.  Variations of the default swap include a cash settlement method based on (i) 100% minus the price of the default bond as determined by polling dealers, or (ii) a fixed recovery rate, e.g. 40%. It is also possible to structure a credit default swap based on different credit events, e.g. bankruptcy of the reference entity. Enron, though </w:t>
      </w:r>
      <w:r>
        <w:rPr>
          <w:i/>
        </w:rPr>
        <w:t>EnronCredit.com</w:t>
      </w:r>
      <w:r>
        <w:rPr/>
        <w:t>, is creating a market in default swaps of this type.</w:t>
      </w:r>
    </w:p>
    <w:p>
      <w:pPr>
        <w:pStyle w:val="Normal"/>
        <w:rPr/>
      </w:pPr>
      <w:r>
        <w:rPr/>
      </w:r>
    </w:p>
    <w:p>
      <w:pPr>
        <w:pStyle w:val="Normal"/>
        <w:numPr>
          <w:ilvl w:val="0"/>
          <w:numId w:val="2"/>
        </w:numPr>
        <w:rPr/>
      </w:pPr>
      <w:r>
        <w:rPr/>
        <w:t>Total Return Swaps: A Total Return Swap is an example of a standard credit swap product. The idea is to transfer the economic return of an asset over a specific time horizon that does not necessarily match the tenor of the reference asset.  The simplest example is to take the payment flows from a bond and pass them on to a counterparty in exchange for Libor plus a premium.  The final price of the bond, less the starting price can result in payments in either direction.  There is an incremental counterparty risk element added to this structure.</w:t>
      </w:r>
    </w:p>
    <w:p>
      <w:pPr>
        <w:pStyle w:val="Normal"/>
        <w:rPr/>
      </w:pPr>
      <w:r>
        <w:rPr/>
      </w:r>
    </w:p>
    <w:p>
      <w:pPr>
        <w:pStyle w:val="Normal"/>
        <w:numPr>
          <w:ilvl w:val="0"/>
          <w:numId w:val="2"/>
        </w:numPr>
        <w:rPr/>
      </w:pPr>
      <w:r>
        <w:rPr/>
        <w:t>Credit Linked Notes: Credit Linked Notes produce both diversification of credit risk and enhanced yield.  Credit linked notes embed the risk of a credit default or other credit event into a security issued by a different borrower.  Typically the coupon or redemption amount of the note is tied to the credit performance of a reference credit.</w:t>
      </w:r>
    </w:p>
    <w:p>
      <w:pPr>
        <w:pStyle w:val="Normal"/>
        <w:rPr/>
      </w:pPr>
      <w:r>
        <w:rPr/>
      </w:r>
    </w:p>
    <w:p>
      <w:pPr>
        <w:pStyle w:val="Normal"/>
        <w:rPr/>
      </w:pPr>
      <w:r>
        <w:rPr/>
        <w:t>For the corporate market, bond default offers a poor hedge – in general, bond default and non-payment of trade creditors have only limited correlation.  In particular, bond default is substantially more common than trade default (data suggests that bankruptcy occurred in only some 70% of defaults over the last 25 years), which means that corporates hedging in the current credit derivative market will tend to overpay for protection.</w:t>
      </w:r>
    </w:p>
    <w:p>
      <w:pPr>
        <w:pStyle w:val="Normal"/>
        <w:rPr/>
      </w:pPr>
      <w:r>
        <w:rPr/>
      </w:r>
    </w:p>
    <w:p>
      <w:pPr>
        <w:pStyle w:val="Normal"/>
        <w:rPr/>
      </w:pPr>
      <w:r>
        <w:rPr/>
        <w:t xml:space="preserve">From its own experience of trying to hedge credit exposures, Enron has identified the fact that its risk to trade creditors, e.g. under energy derivative contracts, is much more closely tied to the risk of bankruptcy than to bond default.  As a result, it has launched a new venture </w:t>
      </w:r>
      <w:r>
        <w:rPr>
          <w:i/>
        </w:rPr>
        <w:t>EnronCredit.com</w:t>
      </w:r>
      <w:r>
        <w:rPr/>
        <w:t xml:space="preserve"> to create a market in credit derivatives tied to bankruptcy and is establishing itself as a market maker for this new market. Through this venture Enron aims to bring significantly more transparency to credit pricing by allowing for real-time evaluation and management of credit risk.</w:t>
      </w:r>
    </w:p>
    <w:p>
      <w:pPr>
        <w:pStyle w:val="Normal"/>
        <w:rPr/>
      </w:pPr>
      <w:r>
        <w:rPr/>
      </w:r>
    </w:p>
    <w:p>
      <w:pPr>
        <w:pStyle w:val="Heading2"/>
        <w:ind w:hanging="0" w:start="0"/>
        <w:rPr/>
      </w:pPr>
      <w:r>
        <w:rPr/>
        <w:t>Significant Future Developments</w:t>
      </w:r>
    </w:p>
    <w:p>
      <w:pPr>
        <w:pStyle w:val="Normal"/>
        <w:rPr/>
      </w:pPr>
      <w:r>
        <w:rPr/>
      </w:r>
    </w:p>
    <w:p>
      <w:pPr>
        <w:pStyle w:val="Normal"/>
        <w:rPr/>
      </w:pPr>
      <w:r>
        <w:rPr/>
        <w:t>In the future, increasing numbers of players in the corporate credit derivative market will encourage further innovation in product offerings to reduce or eliminate basis risks. As one example, the provision of commodity linked credit protection seems an obvious requirement for energy companies.</w:t>
      </w:r>
    </w:p>
    <w:p>
      <w:pPr>
        <w:pStyle w:val="Normal"/>
        <w:rPr/>
      </w:pPr>
      <w:r>
        <w:rPr/>
      </w:r>
    </w:p>
    <w:p>
      <w:pPr>
        <w:pStyle w:val="Normal"/>
        <w:rPr/>
      </w:pPr>
      <w:r>
        <w:rPr/>
        <w:t>As on-line becomes the standard mechanism for transacting business-to-business, the pace of commercial transactions will be forced to become ever more rapid.  New businesses will enter and, and more importantly from a credit protection point-of-view, leave the trading arena much more rapidly.  In the new economy, companies will increasingly need to focus on credit evaluation. As markets become more commoditised, and move towards online trading, margins will shrink thereby making the credit a more pronounced component of gross margins. Companies that cannot effectively evaluate and manage their credit risk at “e-speed” will not survive.</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2000-06-08T12:32:00Z</dcterms:created>
  <dc:creator>mbharadi</dc:creator>
  <dc:description/>
  <dc:language>en-CA</dc:language>
  <cp:lastModifiedBy>mbharadi</cp:lastModifiedBy>
  <dcterms:modified xsi:type="dcterms:W3CDTF">2000-06-08T14:43:00Z</dcterms:modified>
  <cp:revision>1</cp:revision>
  <dc:subject/>
  <dc:title>Credit Trading</dc:title>
</cp:coreProperties>
</file>