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618"/>
        <w:rPr/>
      </w:pPr>
      <w:r>
        <w:rPr/>
        <w:t>December 19, 2001</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540" w:leader="none"/>
              </w:tabs>
              <w:spacing w:before="0" w:after="618"/>
              <w:rPr/>
            </w:pPr>
            <w:r>
              <w:rPr>
                <w:rFonts w:cs="Century Schoolbook;Bookman Old Style" w:ascii="Century Schoolbook;Bookman Old Style" w:hAnsi="Century Schoolbook;Bookman Old Style"/>
                <w:b/>
                <w:sz w:val="22"/>
                <w:u w:val="single"/>
              </w:rPr>
              <w:t xml:space="preserve">Via Facsimile and </w:t>
              <w:br/>
              <w:t>Overnight Mail</w:t>
              <w:br/>
              <w:br/>
            </w:r>
            <w:r>
              <w:rPr>
                <w:rFonts w:cs="Century Schoolbook;Bookman Old Style" w:ascii="Century Schoolbook;Bookman Old Style" w:hAnsi="Century Schoolbook;Bookman Old Style"/>
                <w:sz w:val="22"/>
              </w:rPr>
              <w:t>Enron Power Marketing, Inc.</w:t>
              <w:br/>
              <w:t xml:space="preserve">1400 Smith Street </w:t>
              <w:br/>
              <w:t>Houston, TX  77002</w:t>
              <w:br/>
              <w:t xml:space="preserve">Attn: Power Contracts </w:t>
              <w:br/>
              <w:tab/>
              <w:t xml:space="preserve"> Documentation Manager</w:t>
            </w:r>
          </w:p>
        </w:tc>
        <w:tc>
          <w:tcPr>
            <w:tcW w:w="4788" w:type="dxa"/>
            <w:tcBorders/>
          </w:tcPr>
          <w:p>
            <w:pPr>
              <w:pStyle w:val="Normal"/>
              <w:tabs>
                <w:tab w:val="clear" w:pos="720"/>
                <w:tab w:val="left" w:pos="612" w:leader="none"/>
              </w:tabs>
              <w:spacing w:before="0" w:after="618"/>
              <w:rPr/>
            </w:pPr>
            <w:r>
              <w:rPr>
                <w:rFonts w:cs="Century Schoolbook;Bookman Old Style" w:ascii="Century Schoolbook;Bookman Old Style" w:hAnsi="Century Schoolbook;Bookman Old Style"/>
                <w:b/>
                <w:sz w:val="22"/>
                <w:u w:val="single"/>
              </w:rPr>
              <w:t xml:space="preserve">Via Facsimile and </w:t>
              <w:br/>
              <w:t>Overnight Mail</w:t>
              <w:br/>
              <w:br/>
            </w:r>
            <w:r>
              <w:rPr>
                <w:rFonts w:cs="Century Schoolbook;Bookman Old Style" w:ascii="Century Schoolbook;Bookman Old Style" w:hAnsi="Century Schoolbook;Bookman Old Style"/>
                <w:sz w:val="22"/>
              </w:rPr>
              <w:t>Enron Power Marketing, Inc.</w:t>
              <w:br/>
              <w:t xml:space="preserve">1400 Smith Street </w:t>
              <w:br/>
              <w:t>Houston, TX  77002</w:t>
              <w:br/>
              <w:t xml:space="preserve">Attn: Assistant General Counsel, </w:t>
              <w:br/>
              <w:tab/>
              <w:t>Trading Group</w:t>
            </w:r>
          </w:p>
        </w:tc>
      </w:tr>
    </w:tbl>
    <w:p>
      <w:pPr>
        <w:pStyle w:val="BodyText"/>
        <w:ind w:hanging="720" w:start="1440" w:end="0"/>
        <w:jc w:val="both"/>
        <w:rPr>
          <w:rFonts w:ascii="Century Schoolbook;Bookman Old Style" w:hAnsi="Century Schoolbook;Bookman Old Style" w:cs="Century Schoolbook;Bookman Old Style"/>
          <w:b/>
          <w:sz w:val="22"/>
        </w:rPr>
      </w:pPr>
      <w:r>
        <w:rPr>
          <w:rFonts w:cs="Century Schoolbook;Bookman Old Style" w:ascii="Century Schoolbook;Bookman Old Style" w:hAnsi="Century Schoolbook;Bookman Old Style"/>
          <w:b/>
          <w:sz w:val="22"/>
        </w:rPr>
        <w:t>Re:</w:t>
        <w:tab/>
        <w:t>Revised Confirmation Letter Dated October 5, 2001, Together with Attached Annex A, Confirming Transaction Entered into on September 19, 2001 (the “Agreement”) Between Enron Power Marketing, Inc. (“Enron”) and Oglethorpe Power Corporation (“Oglethorpe”)</w:t>
        <w:tab/>
        <w:tab/>
        <w:tab/>
        <w:tab/>
        <w:tab/>
        <w:tab/>
        <w:tab/>
        <w:tab/>
      </w:r>
    </w:p>
    <w:p>
      <w:pPr>
        <w:pStyle w:val="BodyText"/>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Dear Enron Power Marketing:</w:t>
      </w:r>
    </w:p>
    <w:p>
      <w:pPr>
        <w:pStyle w:val="BodyText"/>
        <w:jc w:val="both"/>
        <w:rPr/>
      </w:pPr>
      <w:r>
        <w:rPr>
          <w:rFonts w:cs="Century Schoolbook;Bookman Old Style" w:ascii="Century Schoolbook;Bookman Old Style" w:hAnsi="Century Schoolbook;Bookman Old Style"/>
          <w:sz w:val="22"/>
        </w:rPr>
        <w:t xml:space="preserve">We have endeavored to contact you over the past week with respect to the above-referenced transaction for the delivery of electricity from January 1, 2002 through February 28, 2002.  Given the Chapter 11 bankruptcy filing by Enron and affiliated companies, we have substantial concerns as to whether you will perform and timely deliver as provided for under the Agreement.  As you may know, Section 5 of Annex A to the Confirmation Letter considers the institution of a bankruptcy proceeding as an Event of Default.  Oglethorpe must protect itself against market exposure and risk of loss should Enron fail to deliver under the terms of the Agreement.  Accordingly, if by </w:t>
      </w:r>
      <w:r>
        <w:rPr>
          <w:rFonts w:cs="Century Schoolbook;Bookman Old Style" w:ascii="Century Schoolbook;Bookman Old Style" w:hAnsi="Century Schoolbook;Bookman Old Style"/>
          <w:b/>
          <w:sz w:val="22"/>
          <w:u w:val="single"/>
        </w:rPr>
        <w:t>December 20, 2001 at 5:00 p.m. Eastern Standard Time</w:t>
      </w:r>
      <w:r>
        <w:rPr>
          <w:rFonts w:cs="Century Schoolbook;Bookman Old Style" w:ascii="Century Schoolbook;Bookman Old Style" w:hAnsi="Century Schoolbook;Bookman Old Style"/>
          <w:sz w:val="22"/>
        </w:rPr>
        <w:t xml:space="preserve"> Oglethorpe does not receive adequate assurance from Enron that Enron will perform under the Agreement, Oglethorpe will continue to consider the Agreement terminated, and immediately obtain replacement electricity that you were to provide under the Agreement.  </w:t>
      </w:r>
    </w:p>
    <w:p>
      <w:pPr>
        <w:pStyle w:val="BodyText"/>
        <w:keepNext w:val="true"/>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Oglethorpe reserves all other rights under the Agreement and all applicable law, including bankruptcy law.</w:t>
      </w:r>
    </w:p>
    <w:p>
      <w:pPr>
        <w:pStyle w:val="BodyText"/>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Sincerely,</w:t>
      </w:r>
    </w:p>
    <w:p>
      <w:pPr>
        <w:pStyle w:val="BodyText"/>
        <w:ind w:firstLine="5040" w:end="0"/>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r>
    </w:p>
    <w:p>
      <w:pPr>
        <w:pStyle w:val="BodyText"/>
        <w:spacing w:before="0" w:after="0"/>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Omer J. Oates, II</w:t>
      </w:r>
    </w:p>
    <w:p>
      <w:pPr>
        <w:pStyle w:val="BodyText"/>
        <w:spacing w:before="0" w:after="120"/>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Director of Marketing and Energy Strategy</w:t>
      </w:r>
    </w:p>
    <w:p>
      <w:pPr>
        <w:pStyle w:val="BodyText"/>
        <w:spacing w:before="0" w:after="120"/>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OJO:rh</w:t>
      </w:r>
    </w:p>
    <w:p>
      <w:pPr>
        <w:pStyle w:val="BodyText"/>
        <w:tabs>
          <w:tab w:val="clear" w:pos="720"/>
          <w:tab w:val="left" w:pos="540" w:leader="none"/>
        </w:tabs>
        <w:spacing w:before="120" w:after="0"/>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c:</w:t>
        <w:tab/>
        <w:t>Mr. Mike Price, OPC</w:t>
      </w:r>
    </w:p>
    <w:p>
      <w:pPr>
        <w:pStyle w:val="BodyText"/>
        <w:tabs>
          <w:tab w:val="clear" w:pos="720"/>
          <w:tab w:val="left" w:pos="540" w:leader="none"/>
        </w:tabs>
        <w:spacing w:before="0" w:after="0"/>
        <w:jc w:val="both"/>
        <w:rPr>
          <w:rFonts w:ascii="Century Schoolbook;Bookman Old Style" w:hAnsi="Century Schoolbook;Bookman Old Style" w:cs="Century Schoolbook;Bookman Old Style"/>
          <w:sz w:val="22"/>
        </w:rPr>
      </w:pPr>
      <w:r>
        <w:rPr>
          <w:rFonts w:cs="Century Schoolbook;Bookman Old Style" w:ascii="Century Schoolbook;Bookman Old Style" w:hAnsi="Century Schoolbook;Bookman Old Style"/>
          <w:sz w:val="22"/>
        </w:rPr>
        <w:tab/>
        <w:t>Mr. Glenn Loomer, OPC</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Bookman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WDocIDLocation" w:val="1"/>
    <w:docVar w:name="SWInitialSave"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0" w:after="240"/>
      <w:outlineLvl w:val="0"/>
    </w:pPr>
    <w:rPr>
      <w:rFonts w:cs="Arial"/>
      <w:bCs/>
      <w:kern w:val="2"/>
      <w:szCs w:val="32"/>
    </w:rPr>
  </w:style>
  <w:style w:type="paragraph" w:styleId="Heading2">
    <w:name w:val="heading 2"/>
    <w:basedOn w:val="Normal"/>
    <w:next w:val="BodyText"/>
    <w:qFormat/>
    <w:pPr>
      <w:numPr>
        <w:ilvl w:val="1"/>
        <w:numId w:val="1"/>
      </w:numPr>
      <w:spacing w:before="100" w:after="240"/>
      <w:ind w:firstLine="720" w:start="0" w:end="0"/>
      <w:outlineLvl w:val="1"/>
    </w:pPr>
    <w:rPr>
      <w:rFonts w:cs="Arial"/>
      <w:bCs/>
      <w:iCs/>
      <w:szCs w:val="28"/>
    </w:rPr>
  </w:style>
  <w:style w:type="paragraph" w:styleId="Heading3">
    <w:name w:val="heading 3"/>
    <w:basedOn w:val="Normal"/>
    <w:next w:val="BodyText"/>
    <w:qFormat/>
    <w:pPr>
      <w:numPr>
        <w:ilvl w:val="2"/>
        <w:numId w:val="1"/>
      </w:numPr>
      <w:spacing w:before="0" w:after="240"/>
      <w:ind w:firstLine="1440" w:start="0" w:end="0"/>
      <w:outlineLvl w:val="2"/>
    </w:pPr>
    <w:rPr>
      <w:rFonts w:cs="Arial"/>
      <w:bCs/>
      <w:szCs w:val="26"/>
    </w:rPr>
  </w:style>
  <w:style w:type="paragraph" w:styleId="Heading4">
    <w:name w:val="heading 4"/>
    <w:basedOn w:val="Normal"/>
    <w:next w:val="BodyText"/>
    <w:qFormat/>
    <w:pPr>
      <w:numPr>
        <w:ilvl w:val="3"/>
        <w:numId w:val="1"/>
      </w:numPr>
      <w:spacing w:before="0" w:after="240"/>
      <w:ind w:firstLine="2160" w:start="0" w:end="0"/>
      <w:outlineLvl w:val="3"/>
    </w:pPr>
    <w:rPr>
      <w:bCs/>
      <w:szCs w:val="28"/>
    </w:rPr>
  </w:style>
  <w:style w:type="paragraph" w:styleId="Heading5">
    <w:name w:val="heading 5"/>
    <w:basedOn w:val="Normal"/>
    <w:next w:val="BodyText"/>
    <w:qFormat/>
    <w:pPr>
      <w:numPr>
        <w:ilvl w:val="4"/>
        <w:numId w:val="1"/>
      </w:numPr>
      <w:spacing w:before="0" w:after="240"/>
      <w:ind w:firstLine="2880" w:start="0" w:end="0"/>
      <w:outlineLvl w:val="4"/>
    </w:pPr>
    <w:rPr>
      <w:bCs/>
      <w:iCs/>
      <w:szCs w:val="26"/>
    </w:rPr>
  </w:style>
  <w:style w:type="paragraph" w:styleId="Heading6">
    <w:name w:val="heading 6"/>
    <w:basedOn w:val="Normal"/>
    <w:next w:val="BodyText"/>
    <w:qFormat/>
    <w:pPr>
      <w:numPr>
        <w:ilvl w:val="5"/>
        <w:numId w:val="1"/>
      </w:numPr>
      <w:spacing w:before="0" w:after="240"/>
      <w:ind w:firstLine="3600" w:start="0" w:end="0"/>
      <w:outlineLvl w:val="5"/>
    </w:pPr>
    <w:rPr>
      <w:bCs/>
      <w:szCs w:val="22"/>
    </w:rPr>
  </w:style>
  <w:style w:type="paragraph" w:styleId="Heading7">
    <w:name w:val="heading 7"/>
    <w:basedOn w:val="Normal"/>
    <w:next w:val="BodyText"/>
    <w:qFormat/>
    <w:pPr>
      <w:numPr>
        <w:ilvl w:val="6"/>
        <w:numId w:val="1"/>
      </w:numPr>
      <w:spacing w:before="0" w:after="240"/>
      <w:ind w:firstLine="4320" w:start="0" w:end="0"/>
      <w:outlineLvl w:val="6"/>
    </w:pPr>
    <w:rPr/>
  </w:style>
  <w:style w:type="paragraph" w:styleId="Heading8">
    <w:name w:val="heading 8"/>
    <w:basedOn w:val="Normal"/>
    <w:next w:val="BodyText"/>
    <w:qFormat/>
    <w:pPr>
      <w:numPr>
        <w:ilvl w:val="7"/>
        <w:numId w:val="1"/>
      </w:numPr>
      <w:spacing w:before="0" w:after="240"/>
      <w:ind w:firstLine="5040" w:start="0" w:end="0"/>
      <w:outlineLvl w:val="7"/>
    </w:pPr>
    <w:rPr>
      <w:iCs/>
    </w:rPr>
  </w:style>
  <w:style w:type="paragraph" w:styleId="Heading9">
    <w:name w:val="heading 9"/>
    <w:basedOn w:val="Normal"/>
    <w:next w:val="Normal"/>
    <w:qFormat/>
    <w:pPr>
      <w:numPr>
        <w:ilvl w:val="8"/>
        <w:numId w:val="1"/>
      </w:numPr>
      <w:spacing w:before="0" w:after="240"/>
      <w:ind w:firstLine="6480" w:start="0" w:end="0"/>
      <w:outlineLvl w:val="8"/>
    </w:pPr>
    <w:rPr>
      <w:rFonts w:cs="Arial"/>
      <w:szCs w:val="22"/>
    </w:rPr>
  </w:style>
  <w:style w:type="character" w:styleId="DefaultParagraphFont">
    <w:name w:val="Default Paragraph Font"/>
    <w:qFormat/>
    <w:rPr/>
  </w:style>
  <w:style w:type="paragraph" w:styleId="Heading">
    <w:name w:val="Heading"/>
    <w:basedOn w:val="Normal"/>
    <w:next w:val="BodyText"/>
    <w:qFormat/>
    <w:pPr>
      <w:spacing w:before="0" w:after="240"/>
      <w:jc w:val="center"/>
    </w:pPr>
    <w:rPr>
      <w:rFonts w:cs="Arial"/>
      <w:b/>
      <w:bCs/>
      <w:kern w:val="2"/>
      <w:szCs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2001-12-19T18:55:00Z</dcterms:created>
  <dc:creator>BRCM</dc:creator>
  <dc:description/>
  <dc:language>en-CA</dc:language>
  <cp:lastModifiedBy>OPC</cp:lastModifiedBy>
  <cp:lastPrinted>2001-12-19T16:38:00Z</cp:lastPrinted>
  <dcterms:modified xsi:type="dcterms:W3CDTF">2001-12-19T19:19:00Z</dcterms:modified>
  <cp:revision>9</cp:revision>
  <dc:subject/>
  <dc:title>[Oglethorpe Power Corporation Stationary]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114876.01601/20969772v1</vt:lpwstr>
  </property>
</Properties>
</file>