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November 29, 2001</w:t>
      </w:r>
    </w:p>
    <w:p>
      <w:pPr>
        <w:pStyle w:val="Normal"/>
        <w:rPr>
          <w:sz w:val="24"/>
        </w:rPr>
      </w:pPr>
      <w:r>
        <w:rPr>
          <w:sz w:val="24"/>
        </w:rPr>
      </w:r>
    </w:p>
    <w:p>
      <w:pPr>
        <w:pStyle w:val="Normal"/>
        <w:rPr>
          <w:sz w:val="24"/>
        </w:rPr>
      </w:pPr>
      <w:r>
        <w:rPr>
          <w:sz w:val="24"/>
        </w:rPr>
        <w:t>Mr. Dan Leff</w:t>
      </w:r>
    </w:p>
    <w:p>
      <w:pPr>
        <w:pStyle w:val="Normal"/>
        <w:rPr>
          <w:sz w:val="24"/>
        </w:rPr>
      </w:pPr>
      <w:r>
        <w:rPr>
          <w:sz w:val="24"/>
        </w:rPr>
        <w:t>Chief Operating Officer</w:t>
      </w:r>
    </w:p>
    <w:p>
      <w:pPr>
        <w:pStyle w:val="Normal"/>
        <w:rPr>
          <w:sz w:val="24"/>
        </w:rPr>
      </w:pPr>
      <w:r>
        <w:rPr>
          <w:sz w:val="24"/>
        </w:rPr>
        <w:t>Enron Energy Services, Inc.</w:t>
      </w:r>
    </w:p>
    <w:p>
      <w:pPr>
        <w:pStyle w:val="Normal"/>
        <w:rPr>
          <w:sz w:val="24"/>
        </w:rPr>
      </w:pPr>
      <w:r>
        <w:rPr>
          <w:sz w:val="24"/>
        </w:rPr>
        <w:t>1400 Smith Street</w:t>
      </w:r>
    </w:p>
    <w:p>
      <w:pPr>
        <w:pStyle w:val="Normal"/>
        <w:rPr>
          <w:sz w:val="24"/>
        </w:rPr>
      </w:pPr>
      <w:r>
        <w:rPr>
          <w:sz w:val="24"/>
        </w:rPr>
        <w:t>Houston, Texas 77002</w:t>
      </w:r>
    </w:p>
    <w:p>
      <w:pPr>
        <w:pStyle w:val="Normal"/>
        <w:rPr>
          <w:sz w:val="24"/>
        </w:rPr>
      </w:pPr>
      <w:r>
        <w:rPr>
          <w:sz w:val="24"/>
        </w:rPr>
      </w:r>
    </w:p>
    <w:p>
      <w:pPr>
        <w:pStyle w:val="Normal"/>
        <w:rPr>
          <w:sz w:val="24"/>
        </w:rPr>
      </w:pPr>
      <w:r>
        <w:rPr>
          <w:sz w:val="24"/>
        </w:rPr>
        <w:t xml:space="preserve">Re: </w:t>
      </w:r>
      <w:r>
        <w:rPr>
          <w:sz w:val="24"/>
          <w:u w:val="single"/>
        </w:rPr>
        <w:t>Security Requirement</w:t>
      </w:r>
    </w:p>
    <w:p>
      <w:pPr>
        <w:pStyle w:val="Normal"/>
        <w:rPr>
          <w:sz w:val="24"/>
        </w:rPr>
      </w:pPr>
      <w:r>
        <w:rPr>
          <w:sz w:val="24"/>
        </w:rPr>
      </w:r>
    </w:p>
    <w:p>
      <w:pPr>
        <w:pStyle w:val="Normal"/>
        <w:rPr>
          <w:sz w:val="24"/>
        </w:rPr>
      </w:pPr>
      <w:r>
        <w:rPr>
          <w:sz w:val="24"/>
        </w:rPr>
        <w:t>Dear Mr. Leff:</w:t>
      </w:r>
    </w:p>
    <w:p>
      <w:pPr>
        <w:pStyle w:val="Normal"/>
        <w:rPr>
          <w:sz w:val="24"/>
        </w:rPr>
      </w:pPr>
      <w:r>
        <w:rPr>
          <w:sz w:val="24"/>
        </w:rPr>
      </w:r>
    </w:p>
    <w:p>
      <w:pPr>
        <w:pStyle w:val="Normal"/>
        <w:rPr>
          <w:sz w:val="24"/>
        </w:rPr>
      </w:pPr>
      <w:r>
        <w:rPr>
          <w:sz w:val="24"/>
        </w:rPr>
        <w:t>Washington Gas Light Company's (“WGL”) letter dated November 13, 2001 requested Enron Energy Services to provide security in the form of a letter of credit or surety bond in the amount of $1,021,890 by November 30, 2001. If the requested security is not received at our office by 2:00 PM (eastern standard time) on November 30, 2001 WGL will disqualify Enron Energy Services from the delivery service program for its failure to comply with the Credit Policy for Energy Supply Companies and will begin the process of notifying Enron Energy Services’ firm service customers that they will be returned to utility service or another supplier.</w:t>
      </w:r>
    </w:p>
    <w:p>
      <w:pPr>
        <w:pStyle w:val="Normal"/>
        <w:rPr>
          <w:sz w:val="24"/>
        </w:rPr>
      </w:pPr>
      <w:r>
        <w:rPr>
          <w:sz w:val="24"/>
        </w:rPr>
      </w:r>
    </w:p>
    <w:p>
      <w:pPr>
        <w:pStyle w:val="Normal"/>
        <w:rPr>
          <w:sz w:val="24"/>
        </w:rPr>
      </w:pPr>
      <w:r>
        <w:rPr>
          <w:sz w:val="24"/>
        </w:rPr>
        <w:t>If you have any questions concerning this notice, please contact Frank Donnelly at (202) 624-6062.</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Francis J. Donnelly, CFA</w:t>
      </w:r>
    </w:p>
    <w:p>
      <w:pPr>
        <w:pStyle w:val="Normal"/>
        <w:rPr>
          <w:sz w:val="24"/>
        </w:rPr>
      </w:pPr>
      <w:r>
        <w:rPr>
          <w:sz w:val="24"/>
        </w:rPr>
        <w:t>Director, Financing</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cc:</w:t>
      </w:r>
    </w:p>
    <w:p>
      <w:pPr>
        <w:pStyle w:val="Normal"/>
        <w:rPr>
          <w:sz w:val="24"/>
        </w:rPr>
      </w:pPr>
      <w:r>
        <w:rPr>
          <w:sz w:val="24"/>
        </w:rPr>
        <w:t>Jim Steffes, Enron Corporation</w:t>
      </w:r>
    </w:p>
    <w:p>
      <w:pPr>
        <w:pStyle w:val="Normal"/>
        <w:rPr>
          <w:sz w:val="24"/>
        </w:rPr>
      </w:pPr>
      <w:r>
        <w:rPr>
          <w:sz w:val="24"/>
        </w:rPr>
        <w:t>Craig Shields, Enron Corporation</w:t>
      </w:r>
    </w:p>
    <w:p>
      <w:pPr>
        <w:pStyle w:val="Normal"/>
        <w:rPr>
          <w:sz w:val="24"/>
        </w:rPr>
      </w:pPr>
      <w:r>
        <w:rPr>
          <w:sz w:val="24"/>
        </w:rPr>
        <w:t>Adrian Chapman, WGL</w:t>
      </w:r>
    </w:p>
    <w:p>
      <w:pPr>
        <w:pStyle w:val="Normal"/>
        <w:rPr>
          <w:sz w:val="24"/>
        </w:rPr>
      </w:pPr>
      <w:r>
        <w:rPr>
          <w:sz w:val="24"/>
        </w:rPr>
        <w:t>Shelley Jennings, WGL</w:t>
      </w:r>
    </w:p>
    <w:p>
      <w:pPr>
        <w:pStyle w:val="Normal"/>
        <w:rPr>
          <w:sz w:val="24"/>
        </w:rPr>
      </w:pPr>
      <w:r>
        <w:rPr>
          <w:sz w:val="24"/>
        </w:rPr>
        <w:t>Mark Zarcone, WGL</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2001-11-29T17:18:00Z</dcterms:created>
  <dc:creator>Washington Gas</dc:creator>
  <dc:description/>
  <dc:language>en-CA</dc:language>
  <cp:lastModifiedBy>Washington Gas</cp:lastModifiedBy>
  <cp:lastPrinted>2001-11-29T15:48:00Z</cp:lastPrinted>
  <dcterms:modified xsi:type="dcterms:W3CDTF">2001-11-29T18:26:00Z</dcterms:modified>
  <cp:revision>2</cp:revision>
  <dc:subject/>
  <dc:title>November 29, 2001</dc:title>
</cp:coreProperties>
</file>